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docProps/core.xml" ContentType="application/vnd.openxmlformats-package.core-properties+xml"/>
  <Override PartName="/docProps/app.xml" ContentType="application/vnd.openxmlformats-officedocument.extended-properties+xml"/>
  <Override PartName="/_rels/.rels" ContentType="application/vnd.openxmlformats-package.relationships+xml"/>
  <Override PartName="/word/_rels/document.xml.rels" ContentType="application/vnd.openxmlformats-package.relationships+xml"/>
  <Override PartName="/word/header1.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160"/>
        <w:rPr/>
      </w:pPr>
      <w:r>
        <w:rPr/>
      </w:r>
    </w:p>
    <w:p>
      <w:pPr>
        <w:pStyle w:val="Normal"/>
        <w:spacing w:before="0" w:after="160"/>
        <w:rPr/>
      </w:pPr>
      <w:r>
        <w:rPr/>
      </w:r>
    </w:p>
    <w:p>
      <w:pPr>
        <w:pStyle w:val="Normal"/>
        <w:spacing w:before="0" w:after="400"/>
        <w:jc w:val="center"/>
        <w:rPr/>
      </w:pPr>
      <w:r>
        <w:rPr/>
        <w:drawing>
          <wp:inline distT="0" distB="0" distL="0" distR="0">
            <wp:extent cx="1333500" cy="133350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1333500" cy="1333500"/>
                    </a:xfrm>
                    <a:prstGeom prst="rect">
                      <a:avLst/>
                    </a:prstGeom>
                    <a:noFill/>
                  </pic:spPr>
                </pic:pic>
              </a:graphicData>
            </a:graphic>
          </wp:inline>
        </w:drawing>
      </w:r>
    </w:p>
    <w:p>
      <w:pPr>
        <w:pStyle w:val="Normal"/>
        <w:spacing w:before="0" w:after="160"/>
        <w:jc w:val="center"/>
        <w:rPr/>
      </w:pPr>
      <w:r>
        <w:rPr>
          <w:rFonts w:eastAsia="Arial" w:cs="Arial" w:ascii="Arial" w:hAnsi="Arial"/>
          <w:b/>
          <w:bCs/>
          <w:i w:val="false"/>
          <w:iCs w:val="false"/>
          <w:color w:val="111827"/>
          <w:sz w:val="48"/>
          <w:szCs w:val="48"/>
        </w:rPr>
        <w:t>Aggregated Intelligence</w:t>
      </w:r>
    </w:p>
    <w:p>
      <w:pPr>
        <w:pStyle w:val="Normal"/>
        <w:spacing w:before="0" w:after="400"/>
        <w:jc w:val="center"/>
        <w:rPr/>
      </w:pPr>
      <w:r>
        <w:rPr>
          <w:rFonts w:eastAsia="Arial" w:cs="Arial" w:ascii="Arial" w:hAnsi="Arial"/>
          <w:b w:val="false"/>
          <w:bCs w:val="false"/>
          <w:i/>
          <w:iCs/>
          <w:color w:val="00A6A6"/>
          <w:sz w:val="28"/>
          <w:szCs w:val="28"/>
        </w:rPr>
        <w:t>The case for measuring human-machine collaboration independently while it can still be seen</w:t>
      </w:r>
    </w:p>
    <w:p>
      <w:pPr>
        <w:pStyle w:val="Normal"/>
        <w:spacing w:before="0" w:after="160"/>
        <w:rPr/>
      </w:pPr>
      <w:r>
        <w:rPr/>
      </w:r>
    </w:p>
    <w:p>
      <w:pPr>
        <w:pStyle w:val="Normal"/>
        <w:spacing w:before="0" w:after="120"/>
        <w:jc w:val="center"/>
        <w:rPr/>
      </w:pPr>
      <w:r>
        <w:rPr>
          <w:rFonts w:eastAsia="Arial" w:cs="Arial" w:ascii="Arial" w:hAnsi="Arial"/>
          <w:b/>
          <w:bCs/>
          <w:i w:val="false"/>
          <w:iCs w:val="false"/>
          <w:color w:val="111827"/>
          <w:sz w:val="22"/>
          <w:szCs w:val="22"/>
        </w:rPr>
        <w:t>Sam Rogers, Founder · PAICE.work PBC</w:t>
      </w:r>
    </w:p>
    <w:p>
      <w:pPr>
        <w:pStyle w:val="Normal"/>
        <w:spacing w:before="0" w:after="120"/>
        <w:jc w:val="center"/>
        <w:rPr/>
      </w:pPr>
      <w:r>
        <w:rPr>
          <w:rFonts w:eastAsia="Arial" w:cs="Arial" w:ascii="Arial" w:hAnsi="Arial"/>
          <w:b w:val="false"/>
          <w:bCs w:val="false"/>
          <w:i w:val="false"/>
          <w:iCs w:val="false"/>
          <w:color w:val="4B5563"/>
          <w:sz w:val="22"/>
          <w:szCs w:val="22"/>
        </w:rPr>
        <w:t>June 2026</w:t>
      </w:r>
    </w:p>
    <w:p>
      <w:pPr>
        <w:sectPr>
          <w:type w:val="nextPage"/>
          <w:pgSz w:w="12240" w:h="15840"/>
          <w:pgMar w:left="1440" w:right="1440" w:gutter="0" w:header="0" w:top="1440" w:footer="0" w:bottom="1440"/>
          <w:pgNumType w:fmt="decimal"/>
          <w:formProt w:val="false"/>
          <w:textDirection w:val="lrTb"/>
          <w:docGrid w:type="default" w:linePitch="360" w:charSpace="0"/>
        </w:sectPr>
        <w:pStyle w:val="Normal"/>
        <w:spacing w:before="0" w:after="0"/>
        <w:jc w:val="center"/>
        <w:rPr/>
      </w:pPr>
      <w:r>
        <w:rPr>
          <w:rFonts w:eastAsia="Arial" w:cs="Arial" w:ascii="Arial" w:hAnsi="Arial"/>
          <w:b w:val="false"/>
          <w:bCs w:val="false"/>
          <w:i/>
          <w:iCs/>
          <w:color w:val="4B5563"/>
          <w:sz w:val="22"/>
          <w:szCs w:val="22"/>
        </w:rPr>
        <w:t>Executive brief · Companion to “One Number You Can Defend”</w:t>
      </w:r>
    </w:p>
    <w:p>
      <w:pPr>
        <w:pStyle w:val="Heading1"/>
        <w:keepNext w:val="true"/>
        <w:spacing w:before="360" w:after="200"/>
        <w:rPr/>
      </w:pPr>
      <w:r>
        <w:rPr>
          <w:rFonts w:eastAsia="Arial" w:cs="Arial" w:ascii="Arial" w:hAnsi="Arial"/>
          <w:b/>
          <w:bCs/>
          <w:color w:val="111827"/>
          <w:sz w:val="30"/>
          <w:szCs w:val="30"/>
        </w:rPr>
        <w:t>Executive summary</w:t>
      </w:r>
    </w:p>
    <w:p>
      <w:pPr>
        <w:pStyle w:val="Normal"/>
        <w:spacing w:lineRule="auto" w:line="300" w:before="0" w:after="160"/>
        <w:rPr/>
      </w:pPr>
      <w:r>
        <w:rPr>
          <w:rFonts w:eastAsia="Arial" w:cs="Arial" w:ascii="Arial" w:hAnsi="Arial"/>
          <w:b w:val="false"/>
          <w:bCs w:val="false"/>
          <w:i w:val="false"/>
          <w:iCs w:val="false"/>
          <w:color w:val="111827"/>
          <w:sz w:val="22"/>
          <w:szCs w:val="22"/>
        </w:rPr>
        <w:t xml:space="preserve">The intelligence that determines an organization’s outcomes is not its people alone, and not its models alone. It is the two working together, well or badly. </w:t>
      </w:r>
      <w:r>
        <w:rPr>
          <w:rFonts w:eastAsia="Arial" w:cs="Arial" w:ascii="Arial" w:hAnsi="Arial"/>
          <w:b/>
          <w:bCs/>
          <w:i w:val="false"/>
          <w:iCs w:val="false"/>
          <w:color w:val="111827"/>
          <w:sz w:val="22"/>
          <w:szCs w:val="22"/>
        </w:rPr>
        <w:t>Aggregated Intelligence is the collective output of different intelligences working together toward a clear intent. Today, that means biological and artificial intelligences. Together they can produce far more than they would apart, or far less; we measure the floor each reliably contributes, not the ceiling their collaboration might reach.</w:t>
      </w:r>
      <w:r>
        <w:rPr>
          <w:rFonts w:eastAsia="Arial" w:cs="Arial" w:ascii="Arial" w:hAnsi="Arial"/>
          <w:b w:val="false"/>
          <w:bCs w:val="false"/>
          <w:i w:val="false"/>
          <w:iCs w:val="false"/>
          <w:color w:val="111827"/>
          <w:sz w:val="22"/>
          <w:szCs w:val="22"/>
        </w:rPr>
        <w:t xml:space="preserve"> Artificial intelligence is one substrate inside that system, not the system itself. The organizations that will compete on it are the ones learning to measure it now, while those intelligences are still legible enough to each other to be measured at all. That legibility is finite. The asymmetry between a bounded human mind and an effectively unbounded machine only grows, and the window in which we can still follow the collaboration narrows as it does.</w:t>
      </w:r>
    </w:p>
    <w:p>
      <w:pPr>
        <w:pStyle w:val="Normal"/>
        <w:spacing w:lineRule="auto" w:line="300" w:before="0" w:after="160"/>
        <w:rPr/>
      </w:pPr>
      <w:r>
        <w:rPr>
          <w:rFonts w:eastAsia="Arial" w:cs="Arial" w:ascii="Arial" w:hAnsi="Arial"/>
          <w:b w:val="false"/>
          <w:bCs w:val="false"/>
          <w:i w:val="false"/>
          <w:iCs w:val="false"/>
          <w:color w:val="111827"/>
          <w:sz w:val="22"/>
          <w:szCs w:val="22"/>
        </w:rPr>
        <w:t>This brief makes a claim aimed at the leaders and investors deciding where durable advantage will sit. Aggregated Intelligence can be measured, but only a measure independent of the tools it scores can be trusted, and independent measurement of a new category earns an authority that vendor-coupled products cannot. That is the bet. PAICE is building the measurement layer behind it now, across people, infrastructure, and regulation, with AI Posture as one combined score that sits on top. The companion brief, “One Number You Can Defend,” details that instrument; this one makes the case for the approach, and for moving before the window narrows.</w:t>
      </w:r>
    </w:p>
    <w:p>
      <w:pPr>
        <w:pStyle w:val="Normal"/>
        <w:spacing w:lineRule="auto" w:line="300" w:before="0" w:after="160"/>
        <w:rPr/>
      </w:pPr>
      <w:r>
        <w:rPr>
          <w:rFonts w:eastAsia="Arial" w:cs="Arial" w:ascii="Arial" w:hAnsi="Arial"/>
          <w:b w:val="false"/>
          <w:bCs w:val="false"/>
          <w:i/>
          <w:iCs/>
          <w:color w:val="111827"/>
          <w:sz w:val="22"/>
          <w:szCs w:val="22"/>
        </w:rPr>
        <w:t>The investors and operators who establish the position before the bottleneck visibly migrates will hold the vocabulary, the calibration, and the muscle memory when it does. After is too late.</w:t>
      </w:r>
    </w:p>
    <w:p>
      <w:pPr>
        <w:pStyle w:val="Heading1"/>
        <w:keepNext w:val="true"/>
        <w:spacing w:before="360" w:after="200"/>
        <w:rPr/>
      </w:pPr>
      <w:r>
        <w:rPr>
          <w:rFonts w:eastAsia="Arial" w:cs="Arial" w:ascii="Arial" w:hAnsi="Arial"/>
          <w:b/>
          <w:bCs/>
          <w:color w:val="111827"/>
          <w:sz w:val="30"/>
          <w:szCs w:val="30"/>
        </w:rPr>
        <w:t>The unit of value is aggregated, not artificial</w:t>
      </w:r>
    </w:p>
    <w:p>
      <w:pPr>
        <w:pStyle w:val="Normal"/>
        <w:spacing w:lineRule="auto" w:line="300" w:before="0" w:after="160"/>
        <w:rPr/>
      </w:pPr>
      <w:r>
        <w:rPr>
          <w:rFonts w:eastAsia="Arial" w:cs="Arial" w:ascii="Arial" w:hAnsi="Arial"/>
          <w:b w:val="false"/>
          <w:bCs w:val="false"/>
          <w:i w:val="false"/>
          <w:iCs w:val="false"/>
          <w:color w:val="111827"/>
          <w:sz w:val="22"/>
          <w:szCs w:val="22"/>
        </w:rPr>
        <w:t>Most AI strategy measures one half of the thing that produces results. Adoption dashboards and training-completion rates measure the human half. Model evaluations, latency budgets, and pipeline telemetry measure the machine half. Both are real, and neither captures the unit that actually generates outcomes: the collaboration between them. A skilled team on top of a capable model can still produce nonsense if the handoffs are wrong, and an unremarkable model in disciplined hands can outperform a stronger one used carelessly. The output is a property of the pairing, not of either side on its own.</w:t>
      </w:r>
    </w:p>
    <w:p>
      <w:pPr>
        <w:pStyle w:val="Normal"/>
        <w:spacing w:lineRule="auto" w:line="300" w:before="0" w:after="160"/>
        <w:rPr/>
      </w:pPr>
      <w:r>
        <w:rPr>
          <w:rFonts w:eastAsia="Arial" w:cs="Arial" w:ascii="Arial" w:hAnsi="Arial"/>
          <w:b w:val="false"/>
          <w:bCs w:val="false"/>
          <w:i w:val="false"/>
          <w:iCs w:val="false"/>
          <w:color w:val="111827"/>
          <w:sz w:val="22"/>
          <w:szCs w:val="22"/>
        </w:rPr>
        <w:t>Aggregated Intelligence is the name for that pairing treated as a single measurable system. It reframes a familiar picture. We tend to call AI a jagged intelligence, capable in one place and surprisingly weak in another, on the quiet assumption that we are the smooth ones. We are not, and AI is the first instrument that gives us an outside view of our own cognition: the overconfidence, the pattern-matching that skips verification, the comfort with an authoritative answer nobody actually checked. Measuring Aggregated Intelligence means assessing that combined system honestly, rather than grading the human and the machine on separate report cards that never reconcile.</w:t>
      </w:r>
    </w:p>
    <w:p>
      <w:pPr>
        <w:pStyle w:val="Heading1"/>
        <w:keepNext w:val="true"/>
        <w:spacing w:before="360" w:after="200"/>
        <w:rPr/>
      </w:pPr>
      <w:r>
        <w:rPr>
          <w:rFonts w:eastAsia="Arial" w:cs="Arial" w:ascii="Arial" w:hAnsi="Arial"/>
          <w:b/>
          <w:bCs/>
          <w:color w:val="111827"/>
          <w:sz w:val="30"/>
          <w:szCs w:val="30"/>
        </w:rPr>
        <w:t>The window is open now, and it is closing</w:t>
      </w:r>
    </w:p>
    <w:p>
      <w:pPr>
        <w:pStyle w:val="Normal"/>
        <w:spacing w:lineRule="auto" w:line="300" w:before="0" w:after="160"/>
        <w:rPr/>
      </w:pPr>
      <w:r>
        <w:rPr>
          <w:rFonts w:eastAsia="Arial" w:cs="Arial" w:ascii="Arial" w:hAnsi="Arial"/>
          <w:b w:val="false"/>
          <w:bCs w:val="false"/>
          <w:i w:val="false"/>
          <w:iCs w:val="false"/>
          <w:color w:val="111827"/>
          <w:sz w:val="22"/>
          <w:szCs w:val="22"/>
        </w:rPr>
        <w:t>Human intelligence is bounded by the neurons in a skull. The systems built out of the sand that thinks carry no such bound. Reasonable people may disagree about how fast and by how much, but almost no one disagrees about the direction. For now the asymmetry is still manageable, because we sit close enough to our machines to audit them, to notice when an answer is confidently wrong, and to share enough language to collaborate on purpose rather than by accident.</w:t>
      </w:r>
    </w:p>
    <w:p>
      <w:pPr>
        <w:pStyle w:val="Normal"/>
        <w:spacing w:lineRule="auto" w:line="300" w:before="0" w:after="160"/>
        <w:rPr/>
      </w:pPr>
      <w:r>
        <w:rPr>
          <w:rFonts w:eastAsia="Arial" w:cs="Arial" w:ascii="Arial" w:hAnsi="Arial"/>
          <w:b w:val="false"/>
          <w:bCs w:val="false"/>
          <w:i w:val="false"/>
          <w:iCs w:val="false"/>
          <w:color w:val="111827"/>
          <w:sz w:val="22"/>
          <w:szCs w:val="22"/>
        </w:rPr>
        <w:t>That proximity is the asset, and it is wasting. As the gap widens, an organization that never built the habit of measuring its human-machine collaboration will find itself directing systems it can no longer follow, with no instinct for the work. The capability cannot be bought at the moment it is needed; it is accumulated through practice, on evidence that is still inspectable, against errors that can still be caught. Baseline now, because the value of having done so rises with the curve.</w:t>
      </w:r>
    </w:p>
    <w:tbl>
      <w:tblPr>
        <w:tblW w:w="9360" w:type="dxa"/>
        <w:jc w:val="start"/>
        <w:tblInd w:w="0" w:type="dxa"/>
        <w:tblLayout w:type="fixed"/>
        <w:tblCellMar>
          <w:top w:w="200" w:type="dxa"/>
          <w:start w:w="240" w:type="dxa"/>
          <w:bottom w:w="200" w:type="dxa"/>
          <w:end w:w="240" w:type="dxa"/>
        </w:tblCellMar>
      </w:tblPr>
      <w:tblGrid>
        <w:gridCol w:w="9360"/>
      </w:tblGrid>
      <w:tr>
        <w:trPr/>
        <w:tc>
          <w:tcPr>
            <w:tcW w:w="9360" w:type="dxa"/>
            <w:tcBorders>
              <w:top w:val="single" w:sz="2" w:space="0" w:color="00A6A6"/>
              <w:start w:val="single" w:sz="6" w:space="0" w:color="00A6A6"/>
              <w:bottom w:val="single" w:sz="2" w:space="0" w:color="00A6A6"/>
              <w:end w:val="single" w:sz="2" w:space="0" w:color="00A6A6"/>
            </w:tcBorders>
            <w:shd w:fill="E6F7F7" w:val="clear"/>
          </w:tcPr>
          <w:p>
            <w:pPr>
              <w:pStyle w:val="Normal"/>
              <w:spacing w:before="0" w:after="0"/>
              <w:rPr/>
            </w:pPr>
            <w:r>
              <w:rPr>
                <w:rFonts w:eastAsia="Arial" w:cs="Arial" w:ascii="Arial" w:hAnsi="Arial"/>
                <w:b w:val="false"/>
                <w:bCs w:val="false"/>
                <w:i/>
                <w:iCs/>
                <w:color w:val="0E7878"/>
                <w:sz w:val="22"/>
                <w:szCs w:val="22"/>
              </w:rPr>
              <w:t>We have worked with non-deterministic systems for as long as we have had colleagues. We just called it other people. The discomfort with AI is not its difference from us. It is the recognition.</w:t>
            </w:r>
          </w:p>
        </w:tc>
      </w:tr>
    </w:tbl>
    <w:p>
      <w:pPr>
        <w:pStyle w:val="Heading1"/>
        <w:keepNext w:val="true"/>
        <w:spacing w:before="360" w:after="200"/>
        <w:rPr/>
      </w:pPr>
      <w:r>
        <w:rPr>
          <w:rFonts w:eastAsia="Arial" w:cs="Arial" w:ascii="Arial" w:hAnsi="Arial"/>
          <w:b/>
          <w:bCs/>
          <w:color w:val="111827"/>
          <w:sz w:val="30"/>
          <w:szCs w:val="30"/>
        </w:rPr>
        <w:t>What cannot be measured cannot be governed</w:t>
      </w:r>
    </w:p>
    <w:p>
      <w:pPr>
        <w:pStyle w:val="Normal"/>
        <w:spacing w:lineRule="auto" w:line="300" w:before="0" w:after="160"/>
        <w:rPr/>
      </w:pPr>
      <w:r>
        <w:rPr>
          <w:rFonts w:eastAsia="Arial" w:cs="Arial" w:ascii="Arial" w:hAnsi="Arial"/>
          <w:b w:val="false"/>
          <w:bCs w:val="false"/>
          <w:i w:val="false"/>
          <w:iCs w:val="false"/>
          <w:color w:val="111827"/>
          <w:sz w:val="22"/>
          <w:szCs w:val="22"/>
        </w:rPr>
        <w:t>The recurring failure of the pre-AI era was getting what we asked for instead of what we wanted, and absorbing the gap at human speed. Entire industries were built on the premise that stated demand is a fair proxy for real need, and the premise was wrong often enough that the wreckage is visible from a distance. A fast, tireless system does not remove that gap. It scales it. The competence that matters now is the ability to see the distance between intention and output, and to close it before it compounds.</w:t>
      </w:r>
    </w:p>
    <w:p>
      <w:pPr>
        <w:pStyle w:val="Normal"/>
        <w:spacing w:lineRule="auto" w:line="300" w:before="0" w:after="160"/>
        <w:rPr/>
      </w:pPr>
      <w:r>
        <w:rPr>
          <w:rFonts w:eastAsia="Arial" w:cs="Arial" w:ascii="Arial" w:hAnsi="Arial"/>
          <w:b w:val="false"/>
          <w:bCs w:val="false"/>
          <w:i w:val="false"/>
          <w:iCs w:val="false"/>
          <w:color w:val="111827"/>
          <w:sz w:val="22"/>
          <w:szCs w:val="22"/>
        </w:rPr>
        <w:t>That competence is measurable, but only against a strict standard. A measure that accepts sentiment, policy aspiration, or tool purchases as evidence rewards presentation over operating reality, which is exactly the gap it was meant to expose. Useful measurement of Aggregated Intelligence has to rest on behavior a third party can inspect: how people actually work with AI, how systems actually respond to agents, how obligations are actually met. Intent is signal. Only behavior counts. It is the discipline that makes a financial statement worth reading, applied to the collaboration itself.</w:t>
      </w:r>
    </w:p>
    <w:p>
      <w:pPr>
        <w:pStyle w:val="Heading1"/>
        <w:keepNext w:val="true"/>
        <w:spacing w:before="360" w:after="200"/>
        <w:rPr/>
      </w:pPr>
      <w:r>
        <w:rPr>
          <w:rFonts w:eastAsia="Arial" w:cs="Arial" w:ascii="Arial" w:hAnsi="Arial"/>
          <w:b/>
          <w:bCs/>
          <w:color w:val="111827"/>
          <w:sz w:val="30"/>
          <w:szCs w:val="30"/>
        </w:rPr>
        <w:t>Why the measure must be independent</w:t>
      </w:r>
    </w:p>
    <w:p>
      <w:pPr>
        <w:pStyle w:val="Normal"/>
        <w:spacing w:lineRule="auto" w:line="300" w:before="0" w:after="160"/>
        <w:rPr/>
      </w:pPr>
      <w:r>
        <w:rPr>
          <w:rFonts w:eastAsia="Arial" w:cs="Arial" w:ascii="Arial" w:hAnsi="Arial"/>
          <w:b w:val="false"/>
          <w:bCs w:val="false"/>
          <w:i w:val="false"/>
          <w:iCs w:val="false"/>
          <w:color w:val="111827"/>
          <w:sz w:val="22"/>
          <w:szCs w:val="22"/>
        </w:rPr>
        <w:t>A measure owned by the vendor whose tools it scores is just marketing with a number attached. The history of every rating that came to matter, from credit risk to crash safety to nutrition labeling, runs the same way: the score earns trust in proportion to the distance between the scorer and the scored. Aggregated Intelligence is no different. For a readiness number to survive a board, a regulator, a partner, or an acquirer, it has to come from a measure with no stake in flattering the result.</w:t>
      </w:r>
    </w:p>
    <w:p>
      <w:pPr>
        <w:pStyle w:val="Normal"/>
        <w:spacing w:lineRule="auto" w:line="300" w:before="0" w:after="160"/>
        <w:rPr/>
      </w:pPr>
      <w:r>
        <w:rPr>
          <w:rFonts w:eastAsia="Arial" w:cs="Arial" w:ascii="Arial" w:hAnsi="Arial"/>
          <w:b w:val="false"/>
          <w:bCs w:val="false"/>
          <w:i w:val="false"/>
          <w:iCs w:val="false"/>
          <w:color w:val="111827"/>
          <w:sz w:val="22"/>
          <w:szCs w:val="22"/>
        </w:rPr>
        <w:t>This is also where durable advantage sits, which is the part that should interest an investor. Independence is not only an ethic, it is also a moat. A neutral measure that arrives first defines the vocabulary the category later argues in, and vocabulary, once it is adopted by regulators, standards bodies, and the people writing the next procurement template, compounds in a way a feature cannot. The architecture is deliberate: the open layer (specifications, the combined posture measure) and the paid reference implementations are structured so the standards stay independent and the operating layer funds them, which is the apparent paradox resolved into a design. PAICE.work PBC is a transitional steward; the combined measure moves to an independent foundation post-funding, by design, because the authority cannot belong to any operator, including this one. And because the measure spans several surfaces, the calibration data it gathers across them combines into a research asset no single-product competitor can assemble. The independence that makes the number trustworthy is the same property that makes the position defensible.</w:t>
      </w:r>
    </w:p>
    <w:p>
      <w:pPr>
        <w:pStyle w:val="Heading1"/>
        <w:keepNext w:val="true"/>
        <w:spacing w:before="360" w:after="200"/>
        <w:rPr/>
      </w:pPr>
      <w:r>
        <w:rPr>
          <w:rFonts w:eastAsia="Arial" w:cs="Arial" w:ascii="Arial" w:hAnsi="Arial"/>
          <w:b/>
          <w:bCs/>
          <w:color w:val="111827"/>
          <w:sz w:val="30"/>
          <w:szCs w:val="30"/>
        </w:rPr>
        <w:t>The approach, already shipping</w:t>
      </w:r>
    </w:p>
    <w:p>
      <w:pPr>
        <w:pStyle w:val="Normal"/>
        <w:spacing w:lineRule="auto" w:line="300" w:before="0" w:after="160"/>
        <w:rPr/>
      </w:pPr>
      <w:r>
        <w:rPr>
          <w:rFonts w:eastAsia="Arial" w:cs="Arial" w:ascii="Arial" w:hAnsi="Arial"/>
          <w:b w:val="false"/>
          <w:bCs w:val="false"/>
          <w:i w:val="false"/>
          <w:iCs w:val="false"/>
          <w:color w:val="111827"/>
          <w:sz w:val="22"/>
          <w:szCs w:val="22"/>
        </w:rPr>
        <w:t>None of this is a thought experiment. The measurement layer exists in the open today across three actor classes that can each independently constrain the whole. People measures how reliably humans collaborate with AI, drawn from inspectable behavior rather than self-report. Infrastructure measures how ready an organization’s digital systems are for agent interaction. Regulation measures how completely its AI-specific obligations are met across the jurisdictions that bind it. Each is a distinct measure with its own reference implementation, and each produces evidence a third party can check.</w:t>
      </w:r>
    </w:p>
    <w:p>
      <w:pPr>
        <w:pStyle w:val="Normal"/>
        <w:spacing w:lineRule="auto" w:line="300" w:before="0" w:after="160"/>
        <w:rPr/>
      </w:pPr>
      <w:r>
        <w:rPr>
          <w:rFonts w:eastAsia="Arial" w:cs="Arial" w:ascii="Arial" w:hAnsi="Arial"/>
          <w:b w:val="false"/>
          <w:bCs w:val="false"/>
          <w:i w:val="false"/>
          <w:iCs w:val="false"/>
          <w:color w:val="111827"/>
          <w:sz w:val="22"/>
          <w:szCs w:val="22"/>
        </w:rPr>
        <w:t>AI Posture sits on top of that layer as one combined score, bounded by the weakest of the three, because an organization is only as ready as its least-ready dimension and an average would launder the gap that actually limits it. It is the first worked example of the approach, and the companion brief, “</w:t>
      </w:r>
      <w:r>
        <w:rPr>
          <w:rFonts w:eastAsia="Arial" w:cs="Arial" w:ascii="Arial" w:hAnsi="Arial"/>
          <w:b w:val="false"/>
          <w:bCs w:val="false"/>
          <w:i/>
          <w:iCs/>
          <w:color w:val="111827"/>
          <w:sz w:val="22"/>
          <w:szCs w:val="22"/>
        </w:rPr>
        <w:t>One Number You Can Defend</w:t>
      </w:r>
      <w:r>
        <w:rPr>
          <w:rFonts w:eastAsia="Arial" w:cs="Arial" w:ascii="Arial" w:hAnsi="Arial"/>
          <w:b w:val="false"/>
          <w:bCs w:val="false"/>
          <w:i w:val="false"/>
          <w:iCs w:val="false"/>
          <w:color w:val="111827"/>
          <w:sz w:val="22"/>
          <w:szCs w:val="22"/>
        </w:rPr>
        <w:t>,” sets out exactly how that instrument is built and defended.</w:t>
      </w:r>
    </w:p>
    <w:p>
      <w:pPr>
        <w:pStyle w:val="Normal"/>
        <w:spacing w:lineRule="auto" w:line="300" w:before="0" w:after="160"/>
        <w:rPr>
          <w:rFonts w:ascii="Arial" w:hAnsi="Arial" w:eastAsia="Arial" w:cs="Arial"/>
          <w:b w:val="false"/>
          <w:bCs w:val="false"/>
          <w:i w:val="false"/>
          <w:i w:val="false"/>
          <w:iCs w:val="false"/>
          <w:color w:val="111827"/>
          <w:sz w:val="22"/>
          <w:szCs w:val="22"/>
        </w:rPr>
      </w:pPr>
      <w:r>
        <w:rPr>
          <w:rFonts w:eastAsia="Arial" w:cs="Arial" w:ascii="Arial" w:hAnsi="Arial"/>
          <w:b w:val="false"/>
          <w:bCs w:val="false"/>
          <w:i w:val="false"/>
          <w:iCs w:val="false"/>
          <w:color w:val="111827"/>
          <w:sz w:val="22"/>
          <w:szCs w:val="22"/>
        </w:rPr>
      </w:r>
      <w:r>
        <w:br w:type="page"/>
      </w:r>
    </w:p>
    <w:tbl>
      <w:tblPr>
        <w:tblW w:w="9360" w:type="dxa"/>
        <w:jc w:val="start"/>
        <w:tblInd w:w="0" w:type="dxa"/>
        <w:tblLayout w:type="fixed"/>
        <w:tblCellMar>
          <w:top w:w="120" w:type="dxa"/>
          <w:start w:w="140" w:type="dxa"/>
          <w:bottom w:w="120" w:type="dxa"/>
          <w:end w:w="140" w:type="dxa"/>
        </w:tblCellMar>
      </w:tblPr>
      <w:tblGrid>
        <w:gridCol w:w="1965"/>
        <w:gridCol w:w="4680"/>
        <w:gridCol w:w="2715"/>
      </w:tblGrid>
      <w:tr>
        <w:trPr/>
        <w:tc>
          <w:tcPr>
            <w:tcW w:w="1965" w:type="dxa"/>
            <w:tcBorders>
              <w:top w:val="single" w:sz="4" w:space="0" w:color="E5E7EB"/>
              <w:start w:val="single" w:sz="4" w:space="0" w:color="E5E7EB"/>
              <w:bottom w:val="single" w:sz="4" w:space="0" w:color="E5E7EB"/>
              <w:end w:val="single" w:sz="4" w:space="0" w:color="E5E7EB"/>
            </w:tcBorders>
            <w:shd w:fill="111827" w:val="clear"/>
          </w:tcPr>
          <w:p>
            <w:pPr>
              <w:pStyle w:val="Normal"/>
              <w:pageBreakBefore/>
              <w:spacing w:before="0" w:after="0"/>
              <w:rPr/>
            </w:pPr>
            <w:r>
              <w:rPr>
                <w:rFonts w:eastAsia="Arial" w:cs="Arial" w:ascii="Arial" w:hAnsi="Arial"/>
                <w:b/>
                <w:bCs/>
                <w:i w:val="false"/>
                <w:iCs w:val="false"/>
                <w:color w:val="FFFFFF"/>
                <w:sz w:val="22"/>
                <w:szCs w:val="22"/>
              </w:rPr>
              <w:t>Actor class</w:t>
            </w:r>
          </w:p>
        </w:tc>
        <w:tc>
          <w:tcPr>
            <w:tcW w:w="4680" w:type="dxa"/>
            <w:tcBorders>
              <w:top w:val="single" w:sz="4" w:space="0" w:color="E5E7EB"/>
              <w:start w:val="single" w:sz="4" w:space="0" w:color="E5E7EB"/>
              <w:bottom w:val="single" w:sz="4" w:space="0" w:color="E5E7EB"/>
              <w:end w:val="single" w:sz="4" w:space="0" w:color="E5E7EB"/>
            </w:tcBorders>
            <w:shd w:fill="111827" w:val="clear"/>
          </w:tcPr>
          <w:p>
            <w:pPr>
              <w:pStyle w:val="Normal"/>
              <w:spacing w:before="0" w:after="0"/>
              <w:rPr/>
            </w:pPr>
            <w:r>
              <w:rPr>
                <w:rFonts w:eastAsia="Arial" w:cs="Arial" w:ascii="Arial" w:hAnsi="Arial"/>
                <w:b/>
                <w:bCs/>
                <w:i w:val="false"/>
                <w:iCs w:val="false"/>
                <w:color w:val="FFFFFF"/>
                <w:sz w:val="22"/>
                <w:szCs w:val="22"/>
              </w:rPr>
              <w:t>What independent measurement looks at</w:t>
            </w:r>
          </w:p>
        </w:tc>
        <w:tc>
          <w:tcPr>
            <w:tcW w:w="2715" w:type="dxa"/>
            <w:tcBorders>
              <w:top w:val="single" w:sz="4" w:space="0" w:color="E5E7EB"/>
              <w:start w:val="single" w:sz="4" w:space="0" w:color="E5E7EB"/>
              <w:bottom w:val="single" w:sz="4" w:space="0" w:color="E5E7EB"/>
              <w:end w:val="single" w:sz="4" w:space="0" w:color="E5E7EB"/>
            </w:tcBorders>
            <w:shd w:fill="111827" w:val="clear"/>
          </w:tcPr>
          <w:p>
            <w:pPr>
              <w:pStyle w:val="Normal"/>
              <w:spacing w:before="0" w:after="0"/>
              <w:rPr/>
            </w:pPr>
            <w:r>
              <w:rPr>
                <w:rFonts w:eastAsia="Arial" w:cs="Arial" w:ascii="Arial" w:hAnsi="Arial"/>
                <w:b/>
                <w:bCs/>
                <w:i w:val="false"/>
                <w:iCs w:val="false"/>
                <w:color w:val="FFFFFF"/>
                <w:sz w:val="22"/>
                <w:szCs w:val="22"/>
              </w:rPr>
              <w:t>Reference implementation</w:t>
            </w:r>
          </w:p>
        </w:tc>
      </w:tr>
      <w:tr>
        <w:trPr/>
        <w:tc>
          <w:tcPr>
            <w:tcW w:w="1965" w:type="dxa"/>
            <w:tcBorders>
              <w:top w:val="single" w:sz="4" w:space="0" w:color="E5E7EB"/>
              <w:start w:val="single" w:sz="4" w:space="0" w:color="E5E7EB"/>
              <w:bottom w:val="single" w:sz="4" w:space="0" w:color="E5E7EB"/>
              <w:end w:val="single" w:sz="4" w:space="0" w:color="E5E7EB"/>
            </w:tcBorders>
            <w:tcMar>
              <w:top w:w="100" w:type="dxa"/>
              <w:bottom w:w="100" w:type="dxa"/>
            </w:tcMar>
          </w:tcPr>
          <w:p>
            <w:pPr>
              <w:pStyle w:val="Normal"/>
              <w:spacing w:lineRule="auto" w:line="281" w:before="0" w:after="0"/>
              <w:rPr/>
            </w:pPr>
            <w:r>
              <w:rPr>
                <w:rFonts w:eastAsia="Arial" w:cs="Arial" w:ascii="Arial" w:hAnsi="Arial"/>
                <w:b w:val="false"/>
                <w:bCs w:val="false"/>
                <w:i w:val="false"/>
                <w:iCs w:val="false"/>
                <w:color w:val="111827"/>
                <w:sz w:val="22"/>
                <w:szCs w:val="22"/>
              </w:rPr>
              <w:t>People</w:t>
            </w:r>
          </w:p>
        </w:tc>
        <w:tc>
          <w:tcPr>
            <w:tcW w:w="4680" w:type="dxa"/>
            <w:tcBorders>
              <w:top w:val="single" w:sz="4" w:space="0" w:color="E5E7EB"/>
              <w:start w:val="single" w:sz="4" w:space="0" w:color="E5E7EB"/>
              <w:bottom w:val="single" w:sz="4" w:space="0" w:color="E5E7EB"/>
              <w:end w:val="single" w:sz="4" w:space="0" w:color="E5E7EB"/>
            </w:tcBorders>
            <w:tcMar>
              <w:top w:w="100" w:type="dxa"/>
              <w:bottom w:w="100" w:type="dxa"/>
            </w:tcMar>
          </w:tcPr>
          <w:p>
            <w:pPr>
              <w:pStyle w:val="Normal"/>
              <w:spacing w:lineRule="auto" w:line="281" w:before="0" w:after="0"/>
              <w:rPr/>
            </w:pPr>
            <w:r>
              <w:rPr>
                <w:rFonts w:eastAsia="Arial" w:cs="Arial" w:ascii="Arial" w:hAnsi="Arial"/>
                <w:b w:val="false"/>
                <w:bCs w:val="false"/>
                <w:i w:val="false"/>
                <w:iCs w:val="false"/>
                <w:color w:val="111827"/>
                <w:sz w:val="22"/>
                <w:szCs w:val="22"/>
              </w:rPr>
              <w:t>How reliably humans collaborate with AI, from inspectable behavior</w:t>
            </w:r>
          </w:p>
        </w:tc>
        <w:tc>
          <w:tcPr>
            <w:tcW w:w="2715" w:type="dxa"/>
            <w:tcBorders>
              <w:top w:val="single" w:sz="4" w:space="0" w:color="E5E7EB"/>
              <w:start w:val="single" w:sz="4" w:space="0" w:color="E5E7EB"/>
              <w:bottom w:val="single" w:sz="4" w:space="0" w:color="E5E7EB"/>
              <w:end w:val="single" w:sz="4" w:space="0" w:color="E5E7EB"/>
            </w:tcBorders>
            <w:tcMar>
              <w:top w:w="100" w:type="dxa"/>
              <w:bottom w:w="100" w:type="dxa"/>
            </w:tcMar>
          </w:tcPr>
          <w:p>
            <w:pPr>
              <w:pStyle w:val="Normal"/>
              <w:spacing w:lineRule="auto" w:line="281" w:before="0" w:after="0"/>
              <w:rPr/>
            </w:pPr>
            <w:r>
              <w:rPr>
                <w:rFonts w:eastAsia="Arial" w:cs="Arial" w:ascii="Arial" w:hAnsi="Arial"/>
                <w:b w:val="false"/>
                <w:bCs w:val="false"/>
                <w:i w:val="false"/>
                <w:iCs w:val="false"/>
                <w:color w:val="111827"/>
                <w:sz w:val="22"/>
                <w:szCs w:val="22"/>
              </w:rPr>
              <w:t>PAICE.work</w:t>
            </w:r>
          </w:p>
        </w:tc>
      </w:tr>
      <w:tr>
        <w:trPr/>
        <w:tc>
          <w:tcPr>
            <w:tcW w:w="1965" w:type="dxa"/>
            <w:tcBorders>
              <w:top w:val="single" w:sz="4" w:space="0" w:color="E5E7EB"/>
              <w:start w:val="single" w:sz="4" w:space="0" w:color="E5E7EB"/>
              <w:bottom w:val="single" w:sz="4" w:space="0" w:color="E5E7EB"/>
              <w:end w:val="single" w:sz="4" w:space="0" w:color="E5E7EB"/>
            </w:tcBorders>
            <w:tcMar>
              <w:top w:w="100" w:type="dxa"/>
              <w:bottom w:w="100" w:type="dxa"/>
            </w:tcMar>
          </w:tcPr>
          <w:p>
            <w:pPr>
              <w:pStyle w:val="Normal"/>
              <w:spacing w:lineRule="auto" w:line="281" w:before="0" w:after="0"/>
              <w:rPr/>
            </w:pPr>
            <w:r>
              <w:rPr>
                <w:rFonts w:eastAsia="Arial" w:cs="Arial" w:ascii="Arial" w:hAnsi="Arial"/>
                <w:b w:val="false"/>
                <w:bCs w:val="false"/>
                <w:i w:val="false"/>
                <w:iCs w:val="false"/>
                <w:color w:val="111827"/>
                <w:sz w:val="22"/>
                <w:szCs w:val="22"/>
              </w:rPr>
              <w:t>Infrastructure</w:t>
            </w:r>
          </w:p>
        </w:tc>
        <w:tc>
          <w:tcPr>
            <w:tcW w:w="4680" w:type="dxa"/>
            <w:tcBorders>
              <w:top w:val="single" w:sz="4" w:space="0" w:color="E5E7EB"/>
              <w:start w:val="single" w:sz="4" w:space="0" w:color="E5E7EB"/>
              <w:bottom w:val="single" w:sz="4" w:space="0" w:color="E5E7EB"/>
              <w:end w:val="single" w:sz="4" w:space="0" w:color="E5E7EB"/>
            </w:tcBorders>
            <w:tcMar>
              <w:top w:w="100" w:type="dxa"/>
              <w:bottom w:w="100" w:type="dxa"/>
            </w:tcMar>
          </w:tcPr>
          <w:p>
            <w:pPr>
              <w:pStyle w:val="Normal"/>
              <w:spacing w:lineRule="auto" w:line="281" w:before="0" w:after="0"/>
              <w:rPr/>
            </w:pPr>
            <w:r>
              <w:rPr>
                <w:rFonts w:eastAsia="Arial" w:cs="Arial" w:ascii="Arial" w:hAnsi="Arial"/>
                <w:b w:val="false"/>
                <w:bCs w:val="false"/>
                <w:i w:val="false"/>
                <w:iCs w:val="false"/>
                <w:color w:val="111827"/>
                <w:sz w:val="22"/>
                <w:szCs w:val="22"/>
              </w:rPr>
              <w:t>How ready digital systems are for agent interaction</w:t>
            </w:r>
          </w:p>
        </w:tc>
        <w:tc>
          <w:tcPr>
            <w:tcW w:w="2715" w:type="dxa"/>
            <w:tcBorders>
              <w:top w:val="single" w:sz="4" w:space="0" w:color="E5E7EB"/>
              <w:start w:val="single" w:sz="4" w:space="0" w:color="E5E7EB"/>
              <w:bottom w:val="single" w:sz="4" w:space="0" w:color="E5E7EB"/>
              <w:end w:val="single" w:sz="4" w:space="0" w:color="E5E7EB"/>
            </w:tcBorders>
            <w:tcMar>
              <w:top w:w="100" w:type="dxa"/>
              <w:bottom w:w="100" w:type="dxa"/>
            </w:tcMar>
          </w:tcPr>
          <w:p>
            <w:pPr>
              <w:pStyle w:val="Normal"/>
              <w:spacing w:lineRule="auto" w:line="281" w:before="0" w:after="0"/>
              <w:rPr/>
            </w:pPr>
            <w:r>
              <w:rPr>
                <w:rFonts w:eastAsia="Arial" w:cs="Arial" w:ascii="Arial" w:hAnsi="Arial"/>
                <w:b w:val="false"/>
                <w:bCs w:val="false"/>
                <w:i w:val="false"/>
                <w:iCs w:val="false"/>
                <w:color w:val="111827"/>
                <w:sz w:val="22"/>
                <w:szCs w:val="22"/>
              </w:rPr>
              <w:t>Siteline.to</w:t>
            </w:r>
          </w:p>
        </w:tc>
      </w:tr>
      <w:tr>
        <w:trPr/>
        <w:tc>
          <w:tcPr>
            <w:tcW w:w="1965" w:type="dxa"/>
            <w:tcBorders>
              <w:top w:val="single" w:sz="4" w:space="0" w:color="E5E7EB"/>
              <w:start w:val="single" w:sz="4" w:space="0" w:color="E5E7EB"/>
              <w:bottom w:val="single" w:sz="4" w:space="0" w:color="E5E7EB"/>
              <w:end w:val="single" w:sz="4" w:space="0" w:color="E5E7EB"/>
            </w:tcBorders>
            <w:tcMar>
              <w:top w:w="100" w:type="dxa"/>
              <w:bottom w:w="100" w:type="dxa"/>
            </w:tcMar>
          </w:tcPr>
          <w:p>
            <w:pPr>
              <w:pStyle w:val="Normal"/>
              <w:spacing w:lineRule="auto" w:line="281" w:before="0" w:after="0"/>
              <w:rPr/>
            </w:pPr>
            <w:r>
              <w:rPr>
                <w:rFonts w:eastAsia="Arial" w:cs="Arial" w:ascii="Arial" w:hAnsi="Arial"/>
                <w:b w:val="false"/>
                <w:bCs w:val="false"/>
                <w:i w:val="false"/>
                <w:iCs w:val="false"/>
                <w:color w:val="111827"/>
                <w:sz w:val="22"/>
                <w:szCs w:val="22"/>
              </w:rPr>
              <w:t>Regulation</w:t>
            </w:r>
          </w:p>
        </w:tc>
        <w:tc>
          <w:tcPr>
            <w:tcW w:w="4680" w:type="dxa"/>
            <w:tcBorders>
              <w:top w:val="single" w:sz="4" w:space="0" w:color="E5E7EB"/>
              <w:start w:val="single" w:sz="4" w:space="0" w:color="E5E7EB"/>
              <w:bottom w:val="single" w:sz="4" w:space="0" w:color="E5E7EB"/>
              <w:end w:val="single" w:sz="4" w:space="0" w:color="E5E7EB"/>
            </w:tcBorders>
            <w:tcMar>
              <w:top w:w="100" w:type="dxa"/>
              <w:bottom w:w="100" w:type="dxa"/>
            </w:tcMar>
          </w:tcPr>
          <w:p>
            <w:pPr>
              <w:pStyle w:val="Normal"/>
              <w:spacing w:lineRule="auto" w:line="281" w:before="0" w:after="0"/>
              <w:rPr/>
            </w:pPr>
            <w:r>
              <w:rPr>
                <w:rFonts w:eastAsia="Arial" w:cs="Arial" w:ascii="Arial" w:hAnsi="Arial"/>
                <w:b w:val="false"/>
                <w:bCs w:val="false"/>
                <w:i w:val="false"/>
                <w:iCs w:val="false"/>
                <w:color w:val="111827"/>
                <w:sz w:val="22"/>
                <w:szCs w:val="22"/>
              </w:rPr>
              <w:t>How completely AI-specific obligations are met across jurisdictions</w:t>
            </w:r>
          </w:p>
        </w:tc>
        <w:tc>
          <w:tcPr>
            <w:tcW w:w="2715" w:type="dxa"/>
            <w:tcBorders>
              <w:top w:val="single" w:sz="4" w:space="0" w:color="E5E7EB"/>
              <w:start w:val="single" w:sz="4" w:space="0" w:color="E5E7EB"/>
              <w:bottom w:val="single" w:sz="4" w:space="0" w:color="E5E7EB"/>
              <w:end w:val="single" w:sz="4" w:space="0" w:color="E5E7EB"/>
            </w:tcBorders>
            <w:tcMar>
              <w:top w:w="100" w:type="dxa"/>
              <w:bottom w:w="100" w:type="dxa"/>
            </w:tcMar>
          </w:tcPr>
          <w:p>
            <w:pPr>
              <w:pStyle w:val="Normal"/>
              <w:spacing w:lineRule="auto" w:line="281" w:before="0" w:after="0"/>
              <w:rPr/>
            </w:pPr>
            <w:r>
              <w:rPr>
                <w:rFonts w:eastAsia="Arial" w:cs="Arial" w:ascii="Arial" w:hAnsi="Arial"/>
                <w:b w:val="false"/>
                <w:bCs w:val="false"/>
                <w:i w:val="false"/>
                <w:iCs w:val="false"/>
                <w:color w:val="111827"/>
                <w:sz w:val="22"/>
                <w:szCs w:val="22"/>
              </w:rPr>
              <w:t>EveryAILaw.com</w:t>
            </w:r>
          </w:p>
        </w:tc>
      </w:tr>
      <w:tr>
        <w:trPr/>
        <w:tc>
          <w:tcPr>
            <w:tcW w:w="1965" w:type="dxa"/>
            <w:tcBorders>
              <w:top w:val="single" w:sz="4" w:space="0" w:color="E5E7EB"/>
              <w:start w:val="single" w:sz="4" w:space="0" w:color="E5E7EB"/>
              <w:bottom w:val="single" w:sz="4" w:space="0" w:color="E5E7EB"/>
              <w:end w:val="single" w:sz="4" w:space="0" w:color="E5E7EB"/>
            </w:tcBorders>
            <w:tcMar>
              <w:top w:w="100" w:type="dxa"/>
              <w:bottom w:w="100" w:type="dxa"/>
            </w:tcMar>
          </w:tcPr>
          <w:p>
            <w:pPr>
              <w:pStyle w:val="Normal"/>
              <w:spacing w:lineRule="auto" w:line="281" w:before="0" w:after="0"/>
              <w:rPr/>
            </w:pPr>
            <w:r>
              <w:rPr>
                <w:rFonts w:eastAsia="Arial" w:cs="Arial" w:ascii="Arial" w:hAnsi="Arial"/>
                <w:b w:val="false"/>
                <w:bCs w:val="false"/>
                <w:i w:val="false"/>
                <w:iCs w:val="false"/>
                <w:color w:val="111827"/>
                <w:sz w:val="22"/>
                <w:szCs w:val="22"/>
              </w:rPr>
              <w:t>Combined</w:t>
            </w:r>
          </w:p>
        </w:tc>
        <w:tc>
          <w:tcPr>
            <w:tcW w:w="4680" w:type="dxa"/>
            <w:tcBorders>
              <w:top w:val="single" w:sz="4" w:space="0" w:color="E5E7EB"/>
              <w:start w:val="single" w:sz="4" w:space="0" w:color="E5E7EB"/>
              <w:bottom w:val="single" w:sz="4" w:space="0" w:color="E5E7EB"/>
              <w:end w:val="single" w:sz="4" w:space="0" w:color="E5E7EB"/>
            </w:tcBorders>
            <w:tcMar>
              <w:top w:w="100" w:type="dxa"/>
              <w:bottom w:w="100" w:type="dxa"/>
            </w:tcMar>
          </w:tcPr>
          <w:p>
            <w:pPr>
              <w:pStyle w:val="Normal"/>
              <w:spacing w:lineRule="auto" w:line="281" w:before="0" w:after="0"/>
              <w:rPr/>
            </w:pPr>
            <w:r>
              <w:rPr>
                <w:rFonts w:eastAsia="Arial" w:cs="Arial" w:ascii="Arial" w:hAnsi="Arial"/>
                <w:b w:val="false"/>
                <w:bCs w:val="false"/>
                <w:i w:val="false"/>
                <w:iCs w:val="false"/>
                <w:color w:val="111827"/>
                <w:sz w:val="22"/>
                <w:szCs w:val="22"/>
              </w:rPr>
              <w:t>One readiness score, bounded by the weakest of the three</w:t>
            </w:r>
          </w:p>
        </w:tc>
        <w:tc>
          <w:tcPr>
            <w:tcW w:w="2715" w:type="dxa"/>
            <w:tcBorders>
              <w:top w:val="single" w:sz="4" w:space="0" w:color="E5E7EB"/>
              <w:start w:val="single" w:sz="4" w:space="0" w:color="E5E7EB"/>
              <w:bottom w:val="single" w:sz="4" w:space="0" w:color="E5E7EB"/>
              <w:end w:val="single" w:sz="4" w:space="0" w:color="E5E7EB"/>
            </w:tcBorders>
            <w:tcMar>
              <w:top w:w="100" w:type="dxa"/>
              <w:bottom w:w="100" w:type="dxa"/>
            </w:tcMar>
          </w:tcPr>
          <w:p>
            <w:pPr>
              <w:pStyle w:val="Normal"/>
              <w:spacing w:lineRule="auto" w:line="281" w:before="0" w:after="0"/>
              <w:rPr/>
            </w:pPr>
            <w:r>
              <w:rPr>
                <w:rFonts w:eastAsia="Arial" w:cs="Arial" w:ascii="Arial" w:hAnsi="Arial"/>
                <w:b w:val="false"/>
                <w:bCs w:val="false"/>
                <w:i w:val="false"/>
                <w:iCs w:val="false"/>
                <w:color w:val="111827"/>
                <w:sz w:val="22"/>
                <w:szCs w:val="22"/>
              </w:rPr>
              <w:t>AIPosture.org</w:t>
            </w:r>
          </w:p>
        </w:tc>
      </w:tr>
    </w:tbl>
    <w:p>
      <w:pPr>
        <w:pStyle w:val="Normal"/>
        <w:spacing w:before="120" w:after="160"/>
        <w:jc w:val="center"/>
        <w:rPr/>
      </w:pPr>
      <w:r>
        <w:rPr>
          <w:rFonts w:eastAsia="Arial" w:cs="Arial" w:ascii="Arial" w:hAnsi="Arial"/>
          <w:b w:val="false"/>
          <w:bCs w:val="false"/>
          <w:i/>
          <w:iCs/>
          <w:color w:val="4B5563"/>
          <w:sz w:val="18"/>
          <w:szCs w:val="18"/>
        </w:rPr>
        <w:t>Table 1: The measurement layer beneath an aggregated-intelligence posture</w:t>
      </w:r>
    </w:p>
    <w:p>
      <w:pPr>
        <w:pStyle w:val="Normal"/>
        <w:spacing w:lineRule="auto" w:line="300" w:before="0" w:after="160"/>
        <w:rPr>
          <w:rFonts w:ascii="Arial" w:hAnsi="Arial" w:eastAsia="Arial" w:cs="Arial"/>
          <w:b w:val="false"/>
          <w:bCs w:val="false"/>
          <w:i w:val="false"/>
          <w:i w:val="false"/>
          <w:iCs w:val="false"/>
          <w:color w:val="111827"/>
          <w:sz w:val="22"/>
          <w:szCs w:val="22"/>
        </w:rPr>
      </w:pPr>
      <w:r>
        <w:rPr>
          <w:rFonts w:eastAsia="Arial" w:cs="Arial" w:ascii="Arial" w:hAnsi="Arial"/>
          <w:b w:val="false"/>
          <w:bCs w:val="false"/>
          <w:i w:val="false"/>
          <w:iCs w:val="false"/>
          <w:color w:val="111827"/>
          <w:sz w:val="22"/>
          <w:szCs w:val="22"/>
        </w:rPr>
      </w:r>
    </w:p>
    <w:p>
      <w:pPr>
        <w:pStyle w:val="Normal"/>
        <w:spacing w:lineRule="auto" w:line="300" w:before="0" w:after="160"/>
        <w:rPr>
          <w:rFonts w:ascii="Arial" w:hAnsi="Arial" w:eastAsia="Arial" w:cs="Arial"/>
          <w:b w:val="false"/>
          <w:bCs w:val="false"/>
          <w:i w:val="false"/>
          <w:i w:val="false"/>
          <w:iCs w:val="false"/>
          <w:color w:val="111827"/>
          <w:sz w:val="22"/>
          <w:szCs w:val="22"/>
        </w:rPr>
      </w:pPr>
      <w:r>
        <w:rPr>
          <w:rFonts w:eastAsia="Arial" w:cs="Arial" w:ascii="Arial" w:hAnsi="Arial"/>
          <w:b w:val="false"/>
          <w:bCs w:val="false"/>
          <w:i w:val="false"/>
          <w:iCs w:val="false"/>
          <w:color w:val="111827"/>
          <w:sz w:val="22"/>
          <w:szCs w:val="22"/>
        </w:rPr>
        <w:t>Measurement is the visible top of a wider approach. The same thesis, keeping Aggregated Intelligence legible, human-owned, and governable as it accelerates, runs through the rest of the portfolio. Each component holds one property of the human-machine system true at agentic speed and scale. They are not features of the score; they are the surrounding infrastructure that makes a defensible score possible in the first place.</w:t>
      </w:r>
    </w:p>
    <w:tbl>
      <w:tblPr>
        <w:tblW w:w="9366" w:type="dxa"/>
        <w:jc w:val="start"/>
        <w:tblInd w:w="0" w:type="dxa"/>
        <w:tblLayout w:type="fixed"/>
        <w:tblCellMar>
          <w:top w:w="120" w:type="dxa"/>
          <w:start w:w="140" w:type="dxa"/>
          <w:bottom w:w="120" w:type="dxa"/>
          <w:end w:w="140" w:type="dxa"/>
        </w:tblCellMar>
      </w:tblPr>
      <w:tblGrid>
        <w:gridCol w:w="7064"/>
        <w:gridCol w:w="2302"/>
      </w:tblGrid>
      <w:tr>
        <w:trPr>
          <w:tblHeader w:val="true"/>
        </w:trPr>
        <w:tc>
          <w:tcPr>
            <w:tcW w:w="7064" w:type="dxa"/>
            <w:tcBorders>
              <w:top w:val="single" w:sz="4" w:space="0" w:color="E5E7EB"/>
              <w:start w:val="single" w:sz="4" w:space="0" w:color="E5E7EB"/>
              <w:bottom w:val="single" w:sz="4" w:space="0" w:color="E5E7EB"/>
              <w:end w:val="single" w:sz="4" w:space="0" w:color="E5E7EB"/>
            </w:tcBorders>
            <w:shd w:fill="111827" w:val="clear"/>
          </w:tcPr>
          <w:p>
            <w:pPr>
              <w:pStyle w:val="Normal"/>
              <w:spacing w:before="0" w:after="0"/>
              <w:rPr/>
            </w:pPr>
            <w:r>
              <w:rPr>
                <w:rFonts w:eastAsia="Arial" w:cs="Arial" w:ascii="Arial" w:hAnsi="Arial"/>
                <w:b/>
                <w:bCs/>
                <w:i w:val="false"/>
                <w:iCs w:val="false"/>
                <w:color w:val="FFFFFF"/>
                <w:sz w:val="22"/>
                <w:szCs w:val="22"/>
              </w:rPr>
              <w:t>What it keeps true</w:t>
            </w:r>
          </w:p>
        </w:tc>
        <w:tc>
          <w:tcPr>
            <w:tcW w:w="2302" w:type="dxa"/>
            <w:tcBorders>
              <w:top w:val="single" w:sz="4" w:space="0" w:color="E5E7EB"/>
              <w:start w:val="single" w:sz="4" w:space="0" w:color="E5E7EB"/>
              <w:bottom w:val="single" w:sz="4" w:space="0" w:color="E5E7EB"/>
              <w:end w:val="single" w:sz="4" w:space="0" w:color="E5E7EB"/>
            </w:tcBorders>
            <w:shd w:fill="111827" w:val="clear"/>
          </w:tcPr>
          <w:p>
            <w:pPr>
              <w:pStyle w:val="Normal"/>
              <w:spacing w:before="0" w:after="0"/>
              <w:rPr/>
            </w:pPr>
            <w:r>
              <w:rPr>
                <w:rFonts w:eastAsia="Arial" w:cs="Arial" w:ascii="Arial" w:hAnsi="Arial"/>
                <w:b/>
                <w:bCs/>
                <w:i w:val="false"/>
                <w:iCs w:val="false"/>
                <w:color w:val="FFFFFF"/>
                <w:sz w:val="22"/>
                <w:szCs w:val="22"/>
              </w:rPr>
              <w:t>PAICE component</w:t>
            </w:r>
          </w:p>
        </w:tc>
      </w:tr>
      <w:tr>
        <w:trPr/>
        <w:tc>
          <w:tcPr>
            <w:tcW w:w="7064" w:type="dxa"/>
            <w:tcBorders>
              <w:top w:val="single" w:sz="4" w:space="0" w:color="E5E7EB"/>
              <w:start w:val="single" w:sz="4" w:space="0" w:color="E5E7EB"/>
              <w:bottom w:val="single" w:sz="4" w:space="0" w:color="E5E7EB"/>
              <w:end w:val="single" w:sz="4" w:space="0" w:color="E5E7EB"/>
            </w:tcBorders>
            <w:tcMar>
              <w:top w:w="100" w:type="dxa"/>
              <w:bottom w:w="100" w:type="dxa"/>
            </w:tcMar>
          </w:tcPr>
          <w:p>
            <w:pPr>
              <w:pStyle w:val="Normal"/>
              <w:spacing w:lineRule="auto" w:line="281" w:before="0" w:after="0"/>
              <w:rPr/>
            </w:pPr>
            <w:r>
              <w:rPr>
                <w:rFonts w:eastAsia="Arial" w:cs="Arial" w:ascii="Arial" w:hAnsi="Arial"/>
                <w:b w:val="false"/>
                <w:bCs w:val="false"/>
                <w:i w:val="false"/>
                <w:iCs w:val="false"/>
                <w:color w:val="111827"/>
                <w:sz w:val="22"/>
                <w:szCs w:val="22"/>
              </w:rPr>
              <w:t>Collaboration between AI agents stays human-legible and human-owned</w:t>
            </w:r>
          </w:p>
        </w:tc>
        <w:tc>
          <w:tcPr>
            <w:tcW w:w="2302" w:type="dxa"/>
            <w:tcBorders>
              <w:top w:val="single" w:sz="4" w:space="0" w:color="E5E7EB"/>
              <w:start w:val="single" w:sz="4" w:space="0" w:color="E5E7EB"/>
              <w:bottom w:val="single" w:sz="4" w:space="0" w:color="E5E7EB"/>
              <w:end w:val="single" w:sz="4" w:space="0" w:color="E5E7EB"/>
            </w:tcBorders>
            <w:tcMar>
              <w:top w:w="100" w:type="dxa"/>
              <w:bottom w:w="100" w:type="dxa"/>
            </w:tcMar>
          </w:tcPr>
          <w:p>
            <w:pPr>
              <w:pStyle w:val="Normal"/>
              <w:spacing w:lineRule="auto" w:line="281" w:before="0" w:after="0"/>
              <w:rPr/>
            </w:pPr>
            <w:r>
              <w:rPr>
                <w:rFonts w:eastAsia="Arial" w:cs="Arial" w:ascii="Arial" w:hAnsi="Arial"/>
                <w:b w:val="false"/>
                <w:bCs w:val="false"/>
                <w:i w:val="false"/>
                <w:iCs w:val="false"/>
                <w:color w:val="111827"/>
                <w:sz w:val="22"/>
                <w:szCs w:val="22"/>
              </w:rPr>
              <w:t>Turnfile</w:t>
            </w:r>
          </w:p>
        </w:tc>
      </w:tr>
      <w:tr>
        <w:trPr/>
        <w:tc>
          <w:tcPr>
            <w:tcW w:w="7064" w:type="dxa"/>
            <w:tcBorders>
              <w:top w:val="single" w:sz="4" w:space="0" w:color="E5E7EB"/>
              <w:start w:val="single" w:sz="4" w:space="0" w:color="E5E7EB"/>
              <w:bottom w:val="single" w:sz="4" w:space="0" w:color="E5E7EB"/>
              <w:end w:val="single" w:sz="4" w:space="0" w:color="E5E7EB"/>
            </w:tcBorders>
            <w:tcMar>
              <w:top w:w="100" w:type="dxa"/>
              <w:bottom w:w="100" w:type="dxa"/>
            </w:tcMar>
          </w:tcPr>
          <w:p>
            <w:pPr>
              <w:pStyle w:val="Normal"/>
              <w:spacing w:lineRule="auto" w:line="281" w:before="0" w:after="0"/>
              <w:rPr/>
            </w:pPr>
            <w:r>
              <w:rPr>
                <w:rFonts w:eastAsia="Arial" w:cs="Arial" w:ascii="Arial" w:hAnsi="Arial"/>
                <w:b w:val="false"/>
                <w:bCs w:val="false"/>
                <w:i w:val="false"/>
                <w:iCs w:val="false"/>
                <w:color w:val="111827"/>
                <w:sz w:val="22"/>
                <w:szCs w:val="22"/>
              </w:rPr>
              <w:t>Trust boundaries between humans and agents are declared and enforced</w:t>
            </w:r>
          </w:p>
        </w:tc>
        <w:tc>
          <w:tcPr>
            <w:tcW w:w="2302" w:type="dxa"/>
            <w:tcBorders>
              <w:top w:val="single" w:sz="4" w:space="0" w:color="E5E7EB"/>
              <w:start w:val="single" w:sz="4" w:space="0" w:color="E5E7EB"/>
              <w:bottom w:val="single" w:sz="4" w:space="0" w:color="E5E7EB"/>
              <w:end w:val="single" w:sz="4" w:space="0" w:color="E5E7EB"/>
            </w:tcBorders>
            <w:tcMar>
              <w:top w:w="100" w:type="dxa"/>
              <w:bottom w:w="100" w:type="dxa"/>
            </w:tcMar>
          </w:tcPr>
          <w:p>
            <w:pPr>
              <w:pStyle w:val="Normal"/>
              <w:spacing w:lineRule="auto" w:line="281" w:before="0" w:after="0"/>
              <w:rPr/>
            </w:pPr>
            <w:r>
              <w:rPr>
                <w:rFonts w:eastAsia="Arial" w:cs="Arial" w:ascii="Arial" w:hAnsi="Arial"/>
                <w:b w:val="false"/>
                <w:bCs w:val="false"/>
                <w:i w:val="false"/>
                <w:iCs w:val="false"/>
                <w:color w:val="111827"/>
                <w:sz w:val="22"/>
                <w:szCs w:val="22"/>
              </w:rPr>
              <w:t>GuideCheck</w:t>
            </w:r>
          </w:p>
        </w:tc>
      </w:tr>
      <w:tr>
        <w:trPr/>
        <w:tc>
          <w:tcPr>
            <w:tcW w:w="7064" w:type="dxa"/>
            <w:tcBorders>
              <w:top w:val="single" w:sz="4" w:space="0" w:color="E5E7EB"/>
              <w:start w:val="single" w:sz="4" w:space="0" w:color="E5E7EB"/>
              <w:bottom w:val="single" w:sz="4" w:space="0" w:color="E5E7EB"/>
              <w:end w:val="single" w:sz="4" w:space="0" w:color="E5E7EB"/>
            </w:tcBorders>
            <w:tcMar>
              <w:top w:w="100" w:type="dxa"/>
              <w:bottom w:w="100" w:type="dxa"/>
            </w:tcMar>
          </w:tcPr>
          <w:p>
            <w:pPr>
              <w:pStyle w:val="Normal"/>
              <w:spacing w:lineRule="auto" w:line="281" w:before="0" w:after="0"/>
              <w:rPr/>
            </w:pPr>
            <w:r>
              <w:rPr>
                <w:rFonts w:eastAsia="Arial" w:cs="Arial" w:ascii="Arial" w:hAnsi="Arial"/>
                <w:b w:val="false"/>
                <w:bCs w:val="false"/>
                <w:i w:val="false"/>
                <w:iCs w:val="false"/>
                <w:color w:val="111827"/>
                <w:sz w:val="22"/>
                <w:szCs w:val="22"/>
              </w:rPr>
              <w:t>Agents refuse and disengage gracefully at the limits of their remit</w:t>
            </w:r>
          </w:p>
        </w:tc>
        <w:tc>
          <w:tcPr>
            <w:tcW w:w="2302" w:type="dxa"/>
            <w:tcBorders>
              <w:top w:val="single" w:sz="4" w:space="0" w:color="E5E7EB"/>
              <w:start w:val="single" w:sz="4" w:space="0" w:color="E5E7EB"/>
              <w:bottom w:val="single" w:sz="4" w:space="0" w:color="E5E7EB"/>
              <w:end w:val="single" w:sz="4" w:space="0" w:color="E5E7EB"/>
            </w:tcBorders>
            <w:tcMar>
              <w:top w:w="100" w:type="dxa"/>
              <w:bottom w:w="100" w:type="dxa"/>
            </w:tcMar>
          </w:tcPr>
          <w:p>
            <w:pPr>
              <w:pStyle w:val="Normal"/>
              <w:spacing w:lineRule="auto" w:line="281" w:before="0" w:after="0"/>
              <w:rPr/>
            </w:pPr>
            <w:r>
              <w:rPr>
                <w:rFonts w:eastAsia="Arial" w:cs="Arial" w:ascii="Arial" w:hAnsi="Arial"/>
                <w:b w:val="false"/>
                <w:bCs w:val="false"/>
                <w:i w:val="false"/>
                <w:iCs w:val="false"/>
                <w:color w:val="111827"/>
                <w:sz w:val="22"/>
                <w:szCs w:val="22"/>
              </w:rPr>
              <w:t>Graceful Boundaries</w:t>
            </w:r>
          </w:p>
        </w:tc>
      </w:tr>
      <w:tr>
        <w:trPr/>
        <w:tc>
          <w:tcPr>
            <w:tcW w:w="7064" w:type="dxa"/>
            <w:tcBorders>
              <w:top w:val="single" w:sz="4" w:space="0" w:color="E5E7EB"/>
              <w:start w:val="single" w:sz="4" w:space="0" w:color="E5E7EB"/>
              <w:bottom w:val="single" w:sz="4" w:space="0" w:color="E5E7EB"/>
              <w:end w:val="single" w:sz="4" w:space="0" w:color="E5E7EB"/>
            </w:tcBorders>
            <w:tcMar>
              <w:top w:w="100" w:type="dxa"/>
              <w:bottom w:w="100" w:type="dxa"/>
            </w:tcMar>
          </w:tcPr>
          <w:p>
            <w:pPr>
              <w:pStyle w:val="Normal"/>
              <w:spacing w:lineRule="auto" w:line="281" w:before="0" w:after="0"/>
              <w:rPr/>
            </w:pPr>
            <w:r>
              <w:rPr>
                <w:rFonts w:eastAsia="Arial" w:cs="Arial" w:ascii="Arial" w:hAnsi="Arial"/>
                <w:b w:val="false"/>
                <w:bCs w:val="false"/>
                <w:i w:val="false"/>
                <w:iCs w:val="false"/>
                <w:color w:val="111827"/>
                <w:sz w:val="22"/>
                <w:szCs w:val="22"/>
              </w:rPr>
              <w:t>Agent skills carry verifiable version and integrity across systems</w:t>
            </w:r>
          </w:p>
        </w:tc>
        <w:tc>
          <w:tcPr>
            <w:tcW w:w="2302" w:type="dxa"/>
            <w:tcBorders>
              <w:top w:val="single" w:sz="4" w:space="0" w:color="E5E7EB"/>
              <w:start w:val="single" w:sz="4" w:space="0" w:color="E5E7EB"/>
              <w:bottom w:val="single" w:sz="4" w:space="0" w:color="E5E7EB"/>
              <w:end w:val="single" w:sz="4" w:space="0" w:color="E5E7EB"/>
            </w:tcBorders>
            <w:tcMar>
              <w:top w:w="100" w:type="dxa"/>
              <w:bottom w:w="100" w:type="dxa"/>
            </w:tcMar>
          </w:tcPr>
          <w:p>
            <w:pPr>
              <w:pStyle w:val="Normal"/>
              <w:spacing w:lineRule="auto" w:line="281" w:before="0" w:after="0"/>
              <w:rPr/>
            </w:pPr>
            <w:r>
              <w:rPr>
                <w:rFonts w:eastAsia="Arial" w:cs="Arial" w:ascii="Arial" w:hAnsi="Arial"/>
                <w:b w:val="false"/>
                <w:bCs w:val="false"/>
                <w:i w:val="false"/>
                <w:iCs w:val="false"/>
                <w:color w:val="111827"/>
                <w:sz w:val="22"/>
                <w:szCs w:val="22"/>
              </w:rPr>
              <w:t>Skill Provenance</w:t>
            </w:r>
          </w:p>
        </w:tc>
      </w:tr>
      <w:tr>
        <w:trPr/>
        <w:tc>
          <w:tcPr>
            <w:tcW w:w="7064" w:type="dxa"/>
            <w:tcBorders>
              <w:top w:val="single" w:sz="4" w:space="0" w:color="E5E7EB"/>
              <w:start w:val="single" w:sz="4" w:space="0" w:color="E5E7EB"/>
              <w:bottom w:val="single" w:sz="4" w:space="0" w:color="E5E7EB"/>
              <w:end w:val="single" w:sz="4" w:space="0" w:color="E5E7EB"/>
            </w:tcBorders>
            <w:tcMar>
              <w:top w:w="100" w:type="dxa"/>
              <w:bottom w:w="100" w:type="dxa"/>
            </w:tcMar>
          </w:tcPr>
          <w:p>
            <w:pPr>
              <w:pStyle w:val="Normal"/>
              <w:spacing w:lineRule="auto" w:line="281" w:before="0" w:after="0"/>
              <w:rPr/>
            </w:pPr>
            <w:r>
              <w:rPr>
                <w:rFonts w:eastAsia="Arial" w:cs="Arial" w:ascii="Arial" w:hAnsi="Arial"/>
                <w:b w:val="false"/>
                <w:bCs w:val="false"/>
                <w:i w:val="false"/>
                <w:iCs w:val="false"/>
                <w:color w:val="111827"/>
                <w:sz w:val="22"/>
                <w:szCs w:val="22"/>
              </w:rPr>
              <w:t>Organizational knowledge stays machine-readable, automatically current, and human-authored</w:t>
            </w:r>
          </w:p>
        </w:tc>
        <w:tc>
          <w:tcPr>
            <w:tcW w:w="2302" w:type="dxa"/>
            <w:tcBorders>
              <w:top w:val="single" w:sz="4" w:space="0" w:color="E5E7EB"/>
              <w:start w:val="single" w:sz="4" w:space="0" w:color="E5E7EB"/>
              <w:bottom w:val="single" w:sz="4" w:space="0" w:color="E5E7EB"/>
              <w:end w:val="single" w:sz="4" w:space="0" w:color="E5E7EB"/>
            </w:tcBorders>
            <w:tcMar>
              <w:top w:w="100" w:type="dxa"/>
              <w:bottom w:w="100" w:type="dxa"/>
            </w:tcMar>
          </w:tcPr>
          <w:p>
            <w:pPr>
              <w:pStyle w:val="Normal"/>
              <w:spacing w:lineRule="auto" w:line="281" w:before="0" w:after="0"/>
              <w:rPr/>
            </w:pPr>
            <w:r>
              <w:rPr>
                <w:rFonts w:eastAsia="Arial" w:cs="Arial" w:ascii="Arial" w:hAnsi="Arial"/>
                <w:b w:val="false"/>
                <w:bCs w:val="false"/>
                <w:i w:val="false"/>
                <w:iCs w:val="false"/>
                <w:color w:val="111827"/>
                <w:sz w:val="22"/>
                <w:szCs w:val="22"/>
              </w:rPr>
              <w:t>Knowledge-as-Code</w:t>
            </w:r>
          </w:p>
        </w:tc>
      </w:tr>
      <w:tr>
        <w:trPr/>
        <w:tc>
          <w:tcPr>
            <w:tcW w:w="7064" w:type="dxa"/>
            <w:tcBorders>
              <w:top w:val="single" w:sz="4" w:space="0" w:color="E5E7EB"/>
              <w:start w:val="single" w:sz="4" w:space="0" w:color="E5E7EB"/>
              <w:bottom w:val="single" w:sz="4" w:space="0" w:color="E5E7EB"/>
              <w:end w:val="single" w:sz="4" w:space="0" w:color="E5E7EB"/>
            </w:tcBorders>
            <w:tcMar>
              <w:top w:w="100" w:type="dxa"/>
              <w:bottom w:w="100" w:type="dxa"/>
            </w:tcMar>
          </w:tcPr>
          <w:p>
            <w:pPr>
              <w:pStyle w:val="Normal"/>
              <w:spacing w:lineRule="auto" w:line="281" w:before="0" w:after="0"/>
              <w:rPr/>
            </w:pPr>
            <w:r>
              <w:rPr>
                <w:rFonts w:eastAsia="Arial" w:cs="Arial" w:ascii="Arial" w:hAnsi="Arial"/>
                <w:b w:val="false"/>
                <w:bCs w:val="false"/>
                <w:i w:val="false"/>
                <w:iCs w:val="false"/>
                <w:color w:val="111827"/>
                <w:sz w:val="22"/>
                <w:szCs w:val="22"/>
              </w:rPr>
              <w:t>The legal landscape stays navigable at agentic speed and scale</w:t>
            </w:r>
          </w:p>
        </w:tc>
        <w:tc>
          <w:tcPr>
            <w:tcW w:w="2302" w:type="dxa"/>
            <w:tcBorders>
              <w:top w:val="single" w:sz="4" w:space="0" w:color="E5E7EB"/>
              <w:start w:val="single" w:sz="4" w:space="0" w:color="E5E7EB"/>
              <w:bottom w:val="single" w:sz="4" w:space="0" w:color="E5E7EB"/>
              <w:end w:val="single" w:sz="4" w:space="0" w:color="E5E7EB"/>
            </w:tcBorders>
            <w:tcMar>
              <w:top w:w="100" w:type="dxa"/>
              <w:bottom w:w="100" w:type="dxa"/>
            </w:tcMar>
          </w:tcPr>
          <w:p>
            <w:pPr>
              <w:pStyle w:val="Normal"/>
              <w:spacing w:lineRule="auto" w:line="281" w:before="0" w:after="0"/>
              <w:rPr/>
            </w:pPr>
            <w:r>
              <w:rPr>
                <w:rFonts w:eastAsia="Arial" w:cs="Arial" w:ascii="Arial" w:hAnsi="Arial"/>
                <w:b w:val="false"/>
                <w:bCs w:val="false"/>
                <w:i w:val="false"/>
                <w:iCs w:val="false"/>
                <w:color w:val="111827"/>
                <w:sz w:val="22"/>
                <w:szCs w:val="22"/>
              </w:rPr>
              <w:t>Obligation First</w:t>
            </w:r>
          </w:p>
        </w:tc>
      </w:tr>
      <w:tr>
        <w:trPr/>
        <w:tc>
          <w:tcPr>
            <w:tcW w:w="7064" w:type="dxa"/>
            <w:tcBorders>
              <w:top w:val="single" w:sz="4" w:space="0" w:color="E5E7EB"/>
              <w:start w:val="single" w:sz="4" w:space="0" w:color="E5E7EB"/>
              <w:bottom w:val="single" w:sz="4" w:space="0" w:color="E5E7EB"/>
              <w:end w:val="single" w:sz="4" w:space="0" w:color="E5E7EB"/>
            </w:tcBorders>
            <w:tcMar>
              <w:top w:w="100" w:type="dxa"/>
              <w:bottom w:w="100" w:type="dxa"/>
            </w:tcMar>
          </w:tcPr>
          <w:p>
            <w:pPr>
              <w:pStyle w:val="Normal"/>
              <w:spacing w:lineRule="auto" w:line="281" w:before="0" w:after="0"/>
              <w:rPr/>
            </w:pPr>
            <w:r>
              <w:rPr>
                <w:rFonts w:eastAsia="Arial" w:cs="Arial" w:ascii="Arial" w:hAnsi="Arial"/>
                <w:b w:val="false"/>
                <w:bCs w:val="false"/>
                <w:i w:val="false"/>
                <w:iCs w:val="false"/>
                <w:color w:val="111827"/>
                <w:sz w:val="22"/>
                <w:szCs w:val="22"/>
              </w:rPr>
              <w:t>The public record of AI harms and rulings stays citable and current</w:t>
            </w:r>
          </w:p>
        </w:tc>
        <w:tc>
          <w:tcPr>
            <w:tcW w:w="2302" w:type="dxa"/>
            <w:tcBorders>
              <w:top w:val="single" w:sz="4" w:space="0" w:color="E5E7EB"/>
              <w:start w:val="single" w:sz="4" w:space="0" w:color="E5E7EB"/>
              <w:bottom w:val="single" w:sz="4" w:space="0" w:color="E5E7EB"/>
              <w:end w:val="single" w:sz="4" w:space="0" w:color="E5E7EB"/>
            </w:tcBorders>
            <w:tcMar>
              <w:top w:w="100" w:type="dxa"/>
              <w:bottom w:w="100" w:type="dxa"/>
            </w:tcMar>
          </w:tcPr>
          <w:p>
            <w:pPr>
              <w:pStyle w:val="Normal"/>
              <w:spacing w:lineRule="auto" w:line="281" w:before="0" w:after="0"/>
              <w:rPr/>
            </w:pPr>
            <w:r>
              <w:rPr>
                <w:rFonts w:eastAsia="Arial" w:cs="Arial" w:ascii="Arial" w:hAnsi="Arial"/>
                <w:b w:val="false"/>
                <w:bCs w:val="false"/>
                <w:i w:val="false"/>
                <w:iCs w:val="false"/>
                <w:color w:val="111827"/>
                <w:sz w:val="22"/>
                <w:szCs w:val="22"/>
              </w:rPr>
              <w:t>AI Incident Law</w:t>
            </w:r>
          </w:p>
        </w:tc>
      </w:tr>
      <w:tr>
        <w:trPr/>
        <w:tc>
          <w:tcPr>
            <w:tcW w:w="7064" w:type="dxa"/>
            <w:tcBorders>
              <w:top w:val="single" w:sz="4" w:space="0" w:color="E5E7EB"/>
              <w:start w:val="single" w:sz="4" w:space="0" w:color="E5E7EB"/>
              <w:bottom w:val="single" w:sz="4" w:space="0" w:color="E5E7EB"/>
              <w:end w:val="single" w:sz="4" w:space="0" w:color="E5E7EB"/>
            </w:tcBorders>
            <w:tcMar>
              <w:top w:w="100" w:type="dxa"/>
              <w:bottom w:w="100" w:type="dxa"/>
            </w:tcMar>
          </w:tcPr>
          <w:p>
            <w:pPr>
              <w:pStyle w:val="Normal"/>
              <w:spacing w:lineRule="auto" w:line="281" w:before="0" w:after="0"/>
              <w:rPr/>
            </w:pPr>
            <w:r>
              <w:rPr>
                <w:rFonts w:eastAsia="Arial" w:cs="Arial" w:ascii="Arial" w:hAnsi="Arial"/>
                <w:b w:val="false"/>
                <w:bCs w:val="false"/>
                <w:i w:val="false"/>
                <w:iCs w:val="false"/>
                <w:color w:val="111827"/>
                <w:sz w:val="22"/>
                <w:szCs w:val="22"/>
              </w:rPr>
              <w:t>Civic records stay open and verifiable as recordkeeping is automated</w:t>
            </w:r>
          </w:p>
        </w:tc>
        <w:tc>
          <w:tcPr>
            <w:tcW w:w="2302" w:type="dxa"/>
            <w:tcBorders>
              <w:top w:val="single" w:sz="4" w:space="0" w:color="E5E7EB"/>
              <w:start w:val="single" w:sz="4" w:space="0" w:color="E5E7EB"/>
              <w:bottom w:val="single" w:sz="4" w:space="0" w:color="E5E7EB"/>
              <w:end w:val="single" w:sz="4" w:space="0" w:color="E5E7EB"/>
            </w:tcBorders>
            <w:tcMar>
              <w:top w:w="100" w:type="dxa"/>
              <w:bottom w:w="100" w:type="dxa"/>
            </w:tcMar>
          </w:tcPr>
          <w:p>
            <w:pPr>
              <w:pStyle w:val="Normal"/>
              <w:spacing w:lineRule="auto" w:line="281" w:before="0" w:after="0"/>
              <w:rPr/>
            </w:pPr>
            <w:r>
              <w:rPr>
                <w:rFonts w:eastAsia="Arial" w:cs="Arial" w:ascii="Arial" w:hAnsi="Arial"/>
                <w:b w:val="false"/>
                <w:bCs w:val="false"/>
                <w:i w:val="false"/>
                <w:iCs w:val="false"/>
                <w:color w:val="111827"/>
                <w:sz w:val="22"/>
                <w:szCs w:val="22"/>
              </w:rPr>
              <w:t>PubLedge</w:t>
            </w:r>
          </w:p>
        </w:tc>
      </w:tr>
    </w:tbl>
    <w:p>
      <w:pPr>
        <w:pStyle w:val="Normal"/>
        <w:spacing w:before="120" w:after="160"/>
        <w:jc w:val="center"/>
        <w:rPr/>
      </w:pPr>
      <w:r>
        <w:rPr>
          <w:rFonts w:eastAsia="Arial" w:cs="Arial" w:ascii="Arial" w:hAnsi="Arial"/>
          <w:b w:val="false"/>
          <w:bCs w:val="false"/>
          <w:i/>
          <w:iCs/>
          <w:color w:val="4B5563"/>
          <w:sz w:val="18"/>
          <w:szCs w:val="18"/>
        </w:rPr>
        <w:t>Table 2: The PAICE portfolio, framed by what each keeps true as Aggregated Intelligence scales. The set is extensible; new components are admitted as gaps appear.</w:t>
      </w:r>
    </w:p>
    <w:p>
      <w:pPr>
        <w:pStyle w:val="Normal"/>
        <w:spacing w:lineRule="auto" w:line="300" w:before="0" w:after="160"/>
        <w:rPr>
          <w:rFonts w:ascii="Arial" w:hAnsi="Arial" w:eastAsia="Arial" w:cs="Arial"/>
          <w:b w:val="false"/>
          <w:bCs w:val="false"/>
          <w:i w:val="false"/>
          <w:i w:val="false"/>
          <w:iCs w:val="false"/>
          <w:color w:val="111827"/>
          <w:sz w:val="22"/>
          <w:szCs w:val="22"/>
        </w:rPr>
      </w:pPr>
      <w:r>
        <w:rPr>
          <w:rFonts w:eastAsia="Arial" w:cs="Arial" w:ascii="Arial" w:hAnsi="Arial"/>
          <w:b w:val="false"/>
          <w:bCs w:val="false"/>
          <w:i w:val="false"/>
          <w:iCs w:val="false"/>
          <w:color w:val="111827"/>
          <w:sz w:val="22"/>
          <w:szCs w:val="22"/>
        </w:rPr>
        <w:t>This breadth is not incidental, and it is the second half of the investor case. Each surface contributes calibration data the others cannot, which is what turns a set of open standards into a research position a single-product competitor cannot copy without first shipping the same breadth.</w:t>
      </w:r>
    </w:p>
    <w:p>
      <w:pPr>
        <w:pStyle w:val="Normal"/>
        <w:spacing w:lineRule="auto" w:line="300" w:before="0" w:after="160"/>
        <w:rPr/>
      </w:pPr>
      <w:r>
        <w:rPr>
          <w:rFonts w:eastAsia="Arial" w:cs="Arial" w:ascii="Arial" w:hAnsi="Arial"/>
          <w:b w:val="false"/>
          <w:bCs w:val="false"/>
          <w:i w:val="false"/>
          <w:iCs w:val="false"/>
          <w:color w:val="111827"/>
          <w:sz w:val="22"/>
          <w:szCs w:val="22"/>
        </w:rPr>
        <w:t>PAICE applies the standards it publishes where they apply. The portfolio surface itself runs GuideCheck conformance, public LLM context files, ontology and relationship endpoints, agent capability metadata, and a public change feed. Graceful Boundaries is not applicable to a static portfolio site; Siteline carries that reference implementation instead. The discipline of using the measure on the operator producing it is its own evidence.</w:t>
      </w:r>
    </w:p>
    <w:p>
      <w:pPr>
        <w:pStyle w:val="Heading1"/>
        <w:keepNext w:val="true"/>
        <w:spacing w:before="360" w:after="200"/>
        <w:rPr/>
      </w:pPr>
      <w:r>
        <w:rPr>
          <w:rFonts w:eastAsia="Arial" w:cs="Arial" w:ascii="Arial" w:hAnsi="Arial"/>
          <w:b/>
          <w:bCs/>
          <w:color w:val="111827"/>
          <w:sz w:val="30"/>
          <w:szCs w:val="30"/>
        </w:rPr>
        <w:t>Anti-fragility: durable through AGI, stronger post-ASI</w:t>
      </w:r>
    </w:p>
    <w:p>
      <w:pPr>
        <w:pStyle w:val="Normal"/>
        <w:spacing w:lineRule="auto" w:line="300" w:before="0" w:after="160"/>
        <w:rPr/>
      </w:pPr>
      <w:r>
        <w:rPr>
          <w:rFonts w:eastAsia="Arial" w:cs="Arial" w:ascii="Arial" w:hAnsi="Arial"/>
          <w:b/>
          <w:bCs/>
          <w:i w:val="false"/>
          <w:iCs w:val="false"/>
          <w:color w:val="111827"/>
          <w:sz w:val="22"/>
          <w:szCs w:val="22"/>
        </w:rPr>
        <w:t>Durable through AGI.</w:t>
      </w:r>
      <w:r>
        <w:rPr>
          <w:rFonts w:eastAsia="Arial" w:cs="Arial" w:ascii="Arial" w:hAnsi="Arial"/>
          <w:b w:val="false"/>
          <w:bCs w:val="false"/>
          <w:i w:val="false"/>
          <w:iCs w:val="false"/>
          <w:color w:val="111827"/>
          <w:sz w:val="22"/>
          <w:szCs w:val="22"/>
        </w:rPr>
        <w:t xml:space="preserve"> The definition is substrate-agnostic by construction. Different intelligences working together toward a clear intent does not pre-commit to which intelligences. Today the pairing is biological and artificial; the door stays open. As the artificial side approaches AGI, what is being measured does not change shape: the floor each contributor reliably brings, and the quality of the handoffs between them. The substrate gets bigger, and the binding object stays the collaboration. Measurement infrastructure carries through unchanged.</w:t>
      </w:r>
    </w:p>
    <w:p>
      <w:pPr>
        <w:pStyle w:val="Normal"/>
        <w:spacing w:lineRule="auto" w:line="300" w:before="0" w:after="160"/>
        <w:rPr/>
      </w:pPr>
      <w:r>
        <w:rPr>
          <w:rFonts w:eastAsia="Arial" w:cs="Arial" w:ascii="Arial" w:hAnsi="Arial"/>
          <w:b/>
          <w:bCs/>
          <w:i w:val="false"/>
          <w:iCs w:val="false"/>
          <w:color w:val="111827"/>
          <w:sz w:val="22"/>
          <w:szCs w:val="22"/>
        </w:rPr>
        <w:t>Anti-fragile post-ASI: the bottleneck migrates onto the measure.</w:t>
      </w:r>
      <w:r>
        <w:rPr>
          <w:rFonts w:eastAsia="Arial" w:cs="Arial" w:ascii="Arial" w:hAnsi="Arial"/>
          <w:b w:val="false"/>
          <w:bCs w:val="false"/>
          <w:i w:val="false"/>
          <w:iCs w:val="false"/>
          <w:color w:val="111827"/>
          <w:sz w:val="22"/>
          <w:szCs w:val="22"/>
        </w:rPr>
        <w:t xml:space="preserve"> This is the strong claim, and it is open for debate. As artificial capability scales, the binding constraint on outcomes migrates from substrate to collaboration. Pre-AGI, model capability is what limits results. As capability stops being the scarce thing, the bottleneck migrates onto handoff quality, intent fidelity, verification discipline, and the legibility of the collaboration itself. A measure aimed at the collaboration gains relevance from the stress that revealed it. Strict Taleb: not survival, </w:t>
      </w:r>
      <w:r>
        <w:rPr>
          <w:rFonts w:eastAsia="Arial" w:cs="Arial" w:ascii="Arial" w:hAnsi="Arial"/>
          <w:b w:val="false"/>
          <w:bCs w:val="false"/>
          <w:i/>
          <w:iCs/>
          <w:color w:val="111827"/>
          <w:sz w:val="22"/>
          <w:szCs w:val="22"/>
        </w:rPr>
        <w:t>gain</w:t>
      </w:r>
      <w:r>
        <w:rPr>
          <w:rFonts w:eastAsia="Arial" w:cs="Arial" w:ascii="Arial" w:hAnsi="Arial"/>
          <w:b w:val="false"/>
          <w:bCs w:val="false"/>
          <w:i w:val="false"/>
          <w:iCs w:val="false"/>
          <w:color w:val="111827"/>
          <w:sz w:val="22"/>
          <w:szCs w:val="22"/>
        </w:rPr>
        <w:t>. The measure does not require a specific scenario to be useful. It is useful because the binding constraint moves toward it under all of them. In winner-take-most ASI, independent measurement is more valuable, not less. It is the only check outside the dominant party. In multi-substrate ASI, it is the vocabulary the market argues in. The bet does not depend on which scenario lands. It depends on the bottleneck migrating, which it has already begun to do in the organizations operating at the frontier.</w:t>
      </w:r>
    </w:p>
    <w:p>
      <w:pPr>
        <w:pStyle w:val="Normal"/>
        <w:spacing w:lineRule="auto" w:line="300" w:before="0" w:after="160"/>
        <w:rPr/>
      </w:pPr>
      <w:r>
        <w:rPr>
          <w:rFonts w:eastAsia="Arial" w:cs="Arial" w:ascii="Arial" w:hAnsi="Arial"/>
          <w:b/>
          <w:bCs/>
          <w:i w:val="false"/>
          <w:iCs w:val="false"/>
          <w:color w:val="111827"/>
          <w:sz w:val="22"/>
          <w:szCs w:val="22"/>
        </w:rPr>
        <w:t>Extensibility absorbs whatever intelligences emerge.</w:t>
      </w:r>
      <w:r>
        <w:rPr>
          <w:rFonts w:eastAsia="Arial" w:cs="Arial" w:ascii="Arial" w:hAnsi="Arial"/>
          <w:b w:val="false"/>
          <w:bCs w:val="false"/>
          <w:i w:val="false"/>
          <w:iCs w:val="false"/>
          <w:color w:val="111827"/>
          <w:sz w:val="22"/>
          <w:szCs w:val="22"/>
        </w:rPr>
        <w:t xml:space="preserve"> The framework’s value rises further if the relevant pairings become augmented humans plus narrow agents, or agent swarms plus single operators, or any combination the next decade produces. The floor is whichever contributor is currently bound: a fatigued operator, an under-aligned agent, a botched handoff. Not a forever-claim about which side is weakest. The measure absorbs new intelligence types without renegotiating its frame. That is what makes the value pattern anti-fragile rather than merely robust.</w:t>
      </w:r>
    </w:p>
    <w:p>
      <w:pPr>
        <w:pStyle w:val="Normal"/>
        <w:spacing w:lineRule="auto" w:line="300" w:before="0" w:after="160"/>
        <w:rPr>
          <w:rFonts w:ascii="Arial" w:hAnsi="Arial" w:eastAsia="Arial" w:cs="Arial"/>
          <w:b w:val="false"/>
          <w:bCs w:val="false"/>
          <w:i w:val="false"/>
          <w:i w:val="false"/>
          <w:iCs w:val="false"/>
          <w:color w:val="111827"/>
          <w:sz w:val="22"/>
          <w:szCs w:val="22"/>
        </w:rPr>
      </w:pPr>
      <w:r>
        <w:rPr>
          <w:rFonts w:eastAsia="Arial" w:cs="Arial" w:ascii="Arial" w:hAnsi="Arial"/>
          <w:b w:val="false"/>
          <w:bCs w:val="false"/>
          <w:i w:val="false"/>
          <w:iCs w:val="false"/>
          <w:color w:val="111827"/>
          <w:sz w:val="22"/>
          <w:szCs w:val="22"/>
        </w:rPr>
      </w:r>
    </w:p>
    <w:tbl>
      <w:tblPr>
        <w:tblW w:w="9360" w:type="dxa"/>
        <w:jc w:val="start"/>
        <w:tblInd w:w="0" w:type="dxa"/>
        <w:tblLayout w:type="fixed"/>
        <w:tblCellMar>
          <w:top w:w="200" w:type="dxa"/>
          <w:start w:w="240" w:type="dxa"/>
          <w:bottom w:w="200" w:type="dxa"/>
          <w:end w:w="240" w:type="dxa"/>
        </w:tblCellMar>
      </w:tblPr>
      <w:tblGrid>
        <w:gridCol w:w="9360"/>
      </w:tblGrid>
      <w:tr>
        <w:trPr/>
        <w:tc>
          <w:tcPr>
            <w:tcW w:w="9360" w:type="dxa"/>
            <w:tcBorders>
              <w:top w:val="single" w:sz="2" w:space="0" w:color="00A6A6"/>
              <w:start w:val="single" w:sz="6" w:space="0" w:color="00A6A6"/>
              <w:bottom w:val="single" w:sz="2" w:space="0" w:color="00A6A6"/>
              <w:end w:val="single" w:sz="2" w:space="0" w:color="00A6A6"/>
            </w:tcBorders>
            <w:shd w:fill="E6F7F7" w:val="clear"/>
          </w:tcPr>
          <w:p>
            <w:pPr>
              <w:pStyle w:val="Normal"/>
              <w:spacing w:before="0" w:after="0"/>
              <w:rPr/>
            </w:pPr>
            <w:r>
              <w:rPr>
                <w:rFonts w:eastAsia="Arial" w:cs="Arial" w:ascii="Arial" w:hAnsi="Arial"/>
                <w:b w:val="false"/>
                <w:bCs w:val="false"/>
                <w:i/>
                <w:iCs/>
                <w:color w:val="0E7878"/>
                <w:sz w:val="22"/>
                <w:szCs w:val="22"/>
              </w:rPr>
              <w:t>This is not a claim about which lab wins, the timeline for AGI, or the right policy for alignment. It is a claim about where the binding constraint on outcomes migrates as capability scales, and which position holds when it does.</w:t>
            </w:r>
          </w:p>
        </w:tc>
      </w:tr>
    </w:tbl>
    <w:p>
      <w:pPr>
        <w:pStyle w:val="Heading1"/>
        <w:keepNext w:val="true"/>
        <w:spacing w:before="360" w:after="200"/>
        <w:rPr/>
      </w:pPr>
      <w:r>
        <w:rPr>
          <w:rFonts w:eastAsia="Arial" w:cs="Arial" w:ascii="Arial" w:hAnsi="Arial"/>
          <w:b/>
          <w:bCs/>
          <w:color w:val="111827"/>
          <w:sz w:val="30"/>
          <w:szCs w:val="30"/>
        </w:rPr>
        <w:t>What would change this</w:t>
      </w:r>
    </w:p>
    <w:p>
      <w:pPr>
        <w:pStyle w:val="Normal"/>
        <w:spacing w:lineRule="auto" w:line="300" w:before="0" w:after="160"/>
        <w:rPr/>
      </w:pPr>
      <w:r>
        <w:rPr>
          <w:rFonts w:eastAsia="Arial" w:cs="Arial" w:ascii="Arial" w:hAnsi="Arial"/>
          <w:b w:val="false"/>
          <w:bCs w:val="false"/>
          <w:i w:val="false"/>
          <w:iCs w:val="false"/>
          <w:color w:val="111827"/>
          <w:sz w:val="22"/>
          <w:szCs w:val="22"/>
        </w:rPr>
        <w:t>The bet is testable. Two conditions would invalidate it. First, if vendor-coupled measures lock the vocabulary of the category before independent measurement earns regulatory and procurement authority (regulatory capture), the position is taken and the moat shifts elsewhere. Second, if the bottleneck never migrates, if substrate capability remains the binding constraint at the operator layer indefinitely (AI pause), the measure is solving a problem that did not arrive. We watch both carefully, and we publish what we find.</w:t>
      </w:r>
    </w:p>
    <w:p>
      <w:pPr>
        <w:pStyle w:val="Heading1"/>
        <w:keepNext w:val="true"/>
        <w:spacing w:before="360" w:after="200"/>
        <w:rPr/>
      </w:pPr>
      <w:r>
        <w:rPr>
          <w:rFonts w:eastAsia="Arial" w:cs="Arial" w:ascii="Arial" w:hAnsi="Arial"/>
          <w:b/>
          <w:bCs/>
          <w:color w:val="111827"/>
          <w:sz w:val="30"/>
          <w:szCs w:val="30"/>
        </w:rPr>
        <w:t>Use this time</w:t>
      </w:r>
    </w:p>
    <w:p>
      <w:pPr>
        <w:pStyle w:val="Normal"/>
        <w:spacing w:lineRule="auto" w:line="300" w:before="0" w:after="160"/>
        <w:rPr/>
      </w:pPr>
      <w:r>
        <w:rPr>
          <w:rFonts w:eastAsia="Arial" w:cs="Arial" w:ascii="Arial" w:hAnsi="Arial"/>
          <w:b w:val="false"/>
          <w:bCs w:val="false"/>
          <w:i w:val="false"/>
          <w:iCs w:val="false"/>
          <w:color w:val="111827"/>
          <w:sz w:val="22"/>
          <w:szCs w:val="22"/>
        </w:rPr>
        <w:t>The argument reduces to a sequence. Aggregated Intelligence, not Artificial Intelligence alone, is the unit that determines outcomes. It can be measured, but only against inspectable behavior, and only a measure independent of the tools it scores will be trusted or will last. The window in which the collaboration is still legible enough to baseline is open now and narrowing. The organizations and the backers that establish an independent measure while it is open will hold the vocabulary, the data, and the muscle memory when the rest can no longer see well enough to follow.</w:t>
      </w:r>
    </w:p>
    <w:p>
      <w:pPr>
        <w:pStyle w:val="Normal"/>
        <w:spacing w:lineRule="auto" w:line="300" w:before="0" w:after="160"/>
        <w:rPr/>
      </w:pPr>
      <w:r>
        <w:rPr>
          <w:rFonts w:eastAsia="Arial" w:cs="Arial" w:ascii="Arial" w:hAnsi="Arial"/>
          <w:b w:val="false"/>
          <w:bCs w:val="false"/>
          <w:i w:val="false"/>
          <w:iCs w:val="false"/>
          <w:color w:val="111827"/>
          <w:sz w:val="22"/>
          <w:szCs w:val="22"/>
        </w:rPr>
        <w:t>The practice you build now is the only instrument that still reads when the labs are no longer trusted, the regulators are overwhelmed, and the people who would have been the check are no longer fast enough to be one. Independence is what survives that moment. The measure you baseline today is the measure your successors will reach for when no other measure is left. After is too late.</w:t>
      </w:r>
    </w:p>
    <w:p>
      <w:pPr>
        <w:pStyle w:val="Normal"/>
        <w:spacing w:lineRule="auto" w:line="300" w:before="0" w:after="160"/>
        <w:rPr>
          <w:rFonts w:ascii="Arial" w:hAnsi="Arial" w:eastAsia="Arial" w:cs="Arial"/>
          <w:b w:val="false"/>
          <w:bCs w:val="false"/>
          <w:i w:val="false"/>
          <w:i w:val="false"/>
          <w:iCs w:val="false"/>
          <w:color w:val="111827"/>
          <w:sz w:val="22"/>
          <w:szCs w:val="22"/>
        </w:rPr>
      </w:pPr>
      <w:r>
        <w:rPr>
          <w:rFonts w:eastAsia="Arial" w:cs="Arial" w:ascii="Arial" w:hAnsi="Arial"/>
          <w:b w:val="false"/>
          <w:bCs w:val="false"/>
          <w:i w:val="false"/>
          <w:iCs w:val="false"/>
          <w:color w:val="111827"/>
          <w:sz w:val="22"/>
          <w:szCs w:val="22"/>
        </w:rPr>
        <w:t>The specifications are open, the reference code is permissively licensed, and the measurement favors no particular vendor, because charging rent on the standard would waste time the situation does not allow. Read the approach, measure once against it, and watch which dimension bounds you. If you can build a better measure, build it and say so. But do not wait for the window to make the decision for you. Use this time. It is the part of the work that does not come back.</w:t>
      </w:r>
    </w:p>
    <w:p>
      <w:pPr>
        <w:pStyle w:val="Normal"/>
        <w:spacing w:lineRule="auto" w:line="300" w:before="0" w:after="160"/>
        <w:rPr>
          <w:rFonts w:ascii="Arial" w:hAnsi="Arial" w:eastAsia="Arial" w:cs="Arial"/>
          <w:b w:val="false"/>
          <w:bCs w:val="false"/>
          <w:i w:val="false"/>
          <w:i w:val="false"/>
          <w:iCs w:val="false"/>
          <w:color w:val="111827"/>
          <w:sz w:val="22"/>
          <w:szCs w:val="22"/>
        </w:rPr>
      </w:pPr>
      <w:r>
        <w:rPr>
          <w:rFonts w:eastAsia="Arial" w:cs="Arial" w:ascii="Arial" w:hAnsi="Arial"/>
          <w:b w:val="false"/>
          <w:bCs w:val="false"/>
          <w:i w:val="false"/>
          <w:iCs w:val="false"/>
          <w:color w:val="111827"/>
          <w:sz w:val="22"/>
          <w:szCs w:val="22"/>
        </w:rPr>
      </w:r>
      <w:r>
        <w:br w:type="page"/>
      </w:r>
    </w:p>
    <w:tbl>
      <w:tblPr>
        <w:tblW w:w="9360" w:type="dxa"/>
        <w:jc w:val="start"/>
        <w:tblInd w:w="0" w:type="dxa"/>
        <w:tblLayout w:type="fixed"/>
        <w:tblCellMar>
          <w:top w:w="220" w:type="dxa"/>
          <w:start w:w="260" w:type="dxa"/>
          <w:bottom w:w="220" w:type="dxa"/>
          <w:end w:w="260" w:type="dxa"/>
        </w:tblCellMar>
      </w:tblPr>
      <w:tblGrid>
        <w:gridCol w:w="9360"/>
      </w:tblGrid>
      <w:tr>
        <w:trPr/>
        <w:tc>
          <w:tcPr>
            <w:tcW w:w="9360" w:type="dxa"/>
            <w:tcBorders>
              <w:top w:val="single" w:sz="2" w:space="0" w:color="00A6A6"/>
              <w:start w:val="single" w:sz="6" w:space="0" w:color="00A6A6"/>
              <w:bottom w:val="single" w:sz="2" w:space="0" w:color="00A6A6"/>
              <w:end w:val="single" w:sz="2" w:space="0" w:color="00A6A6"/>
            </w:tcBorders>
            <w:shd w:fill="F9FAFB" w:val="clear"/>
          </w:tcPr>
          <w:p>
            <w:pPr>
              <w:pStyle w:val="Normal"/>
              <w:pageBreakBefore/>
              <w:spacing w:lineRule="auto" w:line="300" w:before="0" w:after="160"/>
              <w:rPr/>
            </w:pPr>
            <w:r>
              <w:rPr>
                <w:rFonts w:eastAsia="Arial" w:cs="Arial" w:ascii="Arial" w:hAnsi="Arial"/>
                <w:b/>
                <w:bCs/>
                <w:i w:val="false"/>
                <w:iCs w:val="false"/>
                <w:color w:val="111827"/>
                <w:sz w:val="22"/>
                <w:szCs w:val="22"/>
              </w:rPr>
              <w:t xml:space="preserve">About this work. </w:t>
            </w:r>
            <w:r>
              <w:rPr>
                <w:rFonts w:eastAsia="Arial" w:cs="Arial" w:ascii="Arial" w:hAnsi="Arial"/>
                <w:b w:val="false"/>
                <w:bCs w:val="false"/>
                <w:i w:val="false"/>
                <w:iCs w:val="false"/>
                <w:color w:val="111827"/>
                <w:sz w:val="22"/>
                <w:szCs w:val="22"/>
              </w:rPr>
              <w:t>PAICE builds independent measurement for Aggregated Intelligence: the collective output of different intelligences working together, today biological and artificial. The measurement layer spans people, infrastructure, and regulation; AI Posture combines it into one score bounded by the weakest. The open layer (specifications, the combined measure) and the paid reference implementations are deliberately structured so the standards stay independent and the operating layer funds them.</w:t>
            </w:r>
          </w:p>
          <w:p>
            <w:pPr>
              <w:pStyle w:val="Normal"/>
              <w:spacing w:lineRule="auto" w:line="300" w:before="0" w:after="160"/>
              <w:rPr/>
            </w:pPr>
            <w:r>
              <w:rPr>
                <w:rFonts w:eastAsia="Arial" w:cs="Arial" w:ascii="Arial" w:hAnsi="Arial"/>
                <w:b w:val="false"/>
                <w:bCs w:val="false"/>
                <w:i w:val="false"/>
                <w:iCs w:val="false"/>
                <w:color w:val="111827"/>
                <w:sz w:val="22"/>
                <w:szCs w:val="22"/>
              </w:rPr>
              <w:t>Sam Rogers has used the term Aggregated Intelligence in his writing since 2022, named the unit before the gap widened, and founded PAICE.work PBC in 2025 as its first formal steward. The position is operator-built, vendor-independent, and structurally separated from any single product by the planned move to an independent foundation.</w:t>
            </w:r>
          </w:p>
          <w:p>
            <w:pPr>
              <w:pStyle w:val="Normal"/>
              <w:spacing w:lineRule="auto" w:line="300" w:before="0" w:after="160"/>
              <w:rPr/>
            </w:pPr>
            <w:r>
              <w:rPr>
                <w:rFonts w:eastAsia="Arial" w:cs="Arial" w:ascii="Arial" w:hAnsi="Arial"/>
                <w:b/>
                <w:bCs/>
                <w:i w:val="false"/>
                <w:iCs w:val="false"/>
                <w:color w:val="111827"/>
                <w:sz w:val="22"/>
                <w:szCs w:val="22"/>
              </w:rPr>
              <w:t xml:space="preserve">Start here: </w:t>
            </w:r>
            <w:hyperlink r:id="rId3">
              <w:r>
                <w:rPr>
                  <w:rStyle w:val="Hyperlink"/>
                  <w:rFonts w:eastAsia="Arial" w:cs="Arial" w:ascii="Arial" w:hAnsi="Arial"/>
                  <w:b w:val="false"/>
                  <w:bCs w:val="false"/>
                  <w:i w:val="false"/>
                  <w:iCs w:val="false"/>
                  <w:color w:val="111827"/>
                  <w:sz w:val="22"/>
                  <w:szCs w:val="22"/>
                </w:rPr>
                <w:t>https://aiposture.org/</w:t>
              </w:r>
            </w:hyperlink>
            <w:r>
              <w:rPr>
                <w:rFonts w:eastAsia="Arial" w:cs="Arial" w:ascii="Arial" w:hAnsi="Arial"/>
                <w:b w:val="false"/>
                <w:bCs w:val="false"/>
                <w:i w:val="false"/>
                <w:iCs w:val="false"/>
                <w:color w:val="111827"/>
                <w:sz w:val="22"/>
                <w:szCs w:val="22"/>
              </w:rPr>
              <w:t xml:space="preserve"> </w:t>
            </w:r>
          </w:p>
          <w:p>
            <w:pPr>
              <w:pStyle w:val="Normal"/>
              <w:spacing w:lineRule="auto" w:line="300" w:before="0" w:after="0"/>
              <w:rPr/>
            </w:pPr>
            <w:r>
              <w:rPr>
                <w:rFonts w:eastAsia="Arial" w:cs="Arial" w:ascii="Arial" w:hAnsi="Arial"/>
                <w:b w:val="false"/>
                <w:bCs w:val="false"/>
                <w:i w:val="false"/>
                <w:iCs w:val="false"/>
                <w:color w:val="4B5563"/>
                <w:sz w:val="18"/>
                <w:szCs w:val="18"/>
              </w:rPr>
              <w:t>Specifications are published under CC BY 4.0 and reference code under MIT, maintained by PAICE.work PBC, a US public benefit corporation, with a planned transition to an independent steward.</w:t>
            </w:r>
          </w:p>
        </w:tc>
      </w:tr>
    </w:tbl>
    <w:p>
      <w:pPr>
        <w:pStyle w:val="Normal"/>
        <w:spacing w:before="0" w:after="160"/>
        <w:rPr/>
      </w:pPr>
      <w:r>
        <w:rPr/>
      </w:r>
    </w:p>
    <w:p>
      <w:pPr>
        <w:pStyle w:val="Normal"/>
        <w:spacing w:lineRule="auto" w:line="300" w:before="0" w:after="160"/>
        <w:rPr/>
      </w:pPr>
      <w:r>
        <w:rPr>
          <w:rFonts w:eastAsia="Arial" w:cs="Arial" w:ascii="Arial" w:hAnsi="Arial"/>
          <w:b w:val="false"/>
          <w:bCs w:val="false"/>
          <w:i w:val="false"/>
          <w:iCs w:val="false"/>
          <w:color w:val="4B5563"/>
          <w:sz w:val="18"/>
          <w:szCs w:val="18"/>
        </w:rPr>
        <w:t>This executive brief is provided for informational purposes only and does not constitute legal, compliance, investment, or professional advice. AI Posture is a maturity-assertion framework, not a certification, audit, or compliance guarantee. Organizations self-assess and self-assert. The framework defines an evidence standard, not a grader. The specification at https://aiposture.org/ is authoritative. © 2026 PAICE.work PBC.</w:t>
      </w:r>
    </w:p>
    <w:sectPr>
      <w:headerReference w:type="even" r:id="rId4"/>
      <w:headerReference w:type="default" r:id="rId5"/>
      <w:headerReference w:type="first" r:id="rId6"/>
      <w:footerReference w:type="even" r:id="rId7"/>
      <w:footerReference w:type="default" r:id="rId8"/>
      <w:footerReference w:type="first" r:id="rId9"/>
      <w:type w:val="nextPage"/>
      <w:pgSz w:w="12240" w:h="15840"/>
      <w:pgMar w:left="1440" w:right="1440" w:gutter="0" w:header="708" w:top="1440" w:footer="708"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 w:name="Liberation Sans">
    <w:altName w:val="Arial"/>
    <w:charset w:val="01" w:characterSet="utf-8"/>
    <w:family w:val="swiss"/>
    <w:pitch w:val="variable"/>
  </w:font>
  <w:font w:name="Arial">
    <w:charset w:val="01" w:characterSet="utf-8"/>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Style"/>
      <w:jc w:val="center"/>
      <w:rPr/>
    </w:pPr>
    <w:r>
      <w:rPr>
        <w:rFonts w:eastAsia="Arial" w:cs="Arial"/>
        <w:b w:val="false"/>
        <w:bCs w:val="false"/>
        <w:i w:val="false"/>
        <w:iCs w:val="false"/>
        <w:color w:val="4B5563"/>
        <w:sz w:val="16"/>
        <w:szCs w:val="16"/>
      </w:rPr>
      <w:t xml:space="preserve">© 2026 PAICE.work PBC · Page </w:t>
    </w:r>
    <w:r>
      <w:rPr>
        <w:rFonts w:eastAsia="Arial" w:cs="Arial"/>
        <w:b w:val="false"/>
        <w:bCs w:val="false"/>
        <w:i w:val="false"/>
        <w:iCs w:val="false"/>
        <w:color w:val="4B5563"/>
        <w:sz w:val="18"/>
        <w:szCs w:val="18"/>
      </w:rPr>
      <w:fldChar w:fldCharType="begin"/>
    </w:r>
    <w:r>
      <w:rPr>
        <w:sz w:val="18"/>
        <w:i w:val="false"/>
        <w:b w:val="false"/>
        <w:szCs w:val="18"/>
        <w:iCs w:val="false"/>
        <w:bCs w:val="false"/>
        <w:rFonts w:eastAsia="Arial" w:cs="Arial"/>
        <w:color w:val="4B5563"/>
      </w:rPr>
      <w:instrText xml:space="preserve"> PAGE </w:instrText>
    </w:r>
    <w:r>
      <w:rPr>
        <w:sz w:val="18"/>
        <w:i w:val="false"/>
        <w:b w:val="false"/>
        <w:szCs w:val="18"/>
        <w:iCs w:val="false"/>
        <w:bCs w:val="false"/>
        <w:rFonts w:eastAsia="Arial" w:cs="Arial"/>
        <w:color w:val="4B5563"/>
      </w:rPr>
      <w:fldChar w:fldCharType="separate"/>
    </w:r>
    <w:r>
      <w:rPr>
        <w:sz w:val="18"/>
        <w:i w:val="false"/>
        <w:b w:val="false"/>
        <w:szCs w:val="18"/>
        <w:iCs w:val="false"/>
        <w:bCs w:val="false"/>
        <w:rFonts w:eastAsia="Arial" w:cs="Arial"/>
        <w:color w:val="4B5563"/>
      </w:rPr>
      <w:t>8</w:t>
    </w:r>
    <w:r>
      <w:rPr>
        <w:sz w:val="18"/>
        <w:i w:val="false"/>
        <w:b w:val="false"/>
        <w:szCs w:val="18"/>
        <w:iCs w:val="false"/>
        <w:bCs w:val="false"/>
        <w:rFonts w:eastAsia="Arial" w:cs="Arial"/>
        <w:color w:val="4B5563"/>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Style"/>
      <w:jc w:val="center"/>
      <w:rPr/>
    </w:pPr>
    <w:r>
      <w:rPr>
        <w:rFonts w:eastAsia="Arial" w:cs="Arial"/>
        <w:b w:val="false"/>
        <w:bCs w:val="false"/>
        <w:i w:val="false"/>
        <w:iCs w:val="false"/>
        <w:color w:val="4B5563"/>
        <w:sz w:val="16"/>
        <w:szCs w:val="16"/>
      </w:rPr>
      <w:t xml:space="preserve">© 2026 PAICE.work PBC · Page </w:t>
    </w:r>
    <w:r>
      <w:rPr>
        <w:rFonts w:eastAsia="Arial" w:cs="Arial"/>
        <w:b w:val="false"/>
        <w:bCs w:val="false"/>
        <w:i w:val="false"/>
        <w:iCs w:val="false"/>
        <w:color w:val="4B5563"/>
        <w:sz w:val="18"/>
        <w:szCs w:val="18"/>
      </w:rPr>
      <w:fldChar w:fldCharType="begin"/>
    </w:r>
    <w:r>
      <w:rPr>
        <w:sz w:val="18"/>
        <w:i w:val="false"/>
        <w:b w:val="false"/>
        <w:szCs w:val="18"/>
        <w:iCs w:val="false"/>
        <w:bCs w:val="false"/>
        <w:rFonts w:eastAsia="Arial" w:cs="Arial"/>
        <w:color w:val="4B5563"/>
      </w:rPr>
      <w:instrText xml:space="preserve"> PAGE </w:instrText>
    </w:r>
    <w:r>
      <w:rPr>
        <w:sz w:val="18"/>
        <w:i w:val="false"/>
        <w:b w:val="false"/>
        <w:szCs w:val="18"/>
        <w:iCs w:val="false"/>
        <w:bCs w:val="false"/>
        <w:rFonts w:eastAsia="Arial" w:cs="Arial"/>
        <w:color w:val="4B5563"/>
      </w:rPr>
      <w:fldChar w:fldCharType="separate"/>
    </w:r>
    <w:r>
      <w:rPr>
        <w:sz w:val="18"/>
        <w:i w:val="false"/>
        <w:b w:val="false"/>
        <w:szCs w:val="18"/>
        <w:iCs w:val="false"/>
        <w:bCs w:val="false"/>
        <w:rFonts w:eastAsia="Arial" w:cs="Arial"/>
        <w:color w:val="4B5563"/>
      </w:rPr>
      <w:t>8</w:t>
    </w:r>
    <w:r>
      <w:rPr>
        <w:sz w:val="18"/>
        <w:i w:val="false"/>
        <w:b w:val="false"/>
        <w:szCs w:val="18"/>
        <w:iCs w:val="false"/>
        <w:bCs w:val="false"/>
        <w:rFonts w:eastAsia="Arial" w:cs="Arial"/>
        <w:color w:val="4B5563"/>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end"/>
      <w:rPr/>
    </w:pPr>
    <w:r>
      <w:rPr>
        <w:rFonts w:eastAsia="Arial" w:cs="Arial" w:ascii="Arial" w:hAnsi="Arial"/>
        <w:b w:val="false"/>
        <w:bCs w:val="false"/>
        <w:i w:val="false"/>
        <w:iCs w:val="false"/>
        <w:color w:val="4B5563"/>
        <w:sz w:val="16"/>
        <w:szCs w:val="16"/>
      </w:rPr>
      <w:t>PAICE.work PBC · Aggregated Intelligence</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end"/>
      <w:rPr/>
    </w:pPr>
    <w:r>
      <w:rPr>
        <w:rFonts w:eastAsia="Arial" w:cs="Arial" w:ascii="Arial" w:hAnsi="Arial"/>
        <w:b w:val="false"/>
        <w:bCs w:val="false"/>
        <w:i w:val="false"/>
        <w:iCs w:val="false"/>
        <w:color w:val="4B5563"/>
        <w:sz w:val="16"/>
        <w:szCs w:val="16"/>
      </w:rPr>
      <w:t>PAICE.work PBC · Aggregated Intelligence</w:t>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ongti SC" w:cs="Arial Unicode MS"/>
        <w:lang w:val="en-US" w:eastAsia="zh-CN" w:bidi="hi-IN"/>
      </w:rPr>
    </w:rPrDefault>
    <w:pPrDefault>
      <w:pPr>
        <w:suppressAutoHyphens w:val="true"/>
      </w:pPr>
    </w:pPrDefault>
  </w:docDefaults>
  <w:style w:type="paragraph" w:styleId="Normal">
    <w:name w:val="Normal"/>
    <w:qFormat/>
    <w:pPr>
      <w:widowControl/>
      <w:bidi w:val="0"/>
      <w:spacing w:before="0" w:after="0"/>
      <w:jc w:val="start"/>
    </w:pPr>
    <w:rPr>
      <w:rFonts w:ascii="Times New Roman" w:hAnsi="Times New Roman" w:eastAsia="Songti SC" w:cs="Arial Unicode MS"/>
      <w:color w:val="auto"/>
      <w:kern w:val="0"/>
      <w:sz w:val="20"/>
      <w:szCs w:val="20"/>
      <w:lang w:val="en-US" w:eastAsia="zh-CN" w:bidi="hi-IN"/>
    </w:rPr>
  </w:style>
  <w:style w:type="paragraph" w:styleId="Heading1">
    <w:name w:val="heading 1"/>
    <w:basedOn w:val="Heading"/>
    <w:qFormat/>
    <w:pPr/>
    <w:rPr>
      <w:color w:val="2E74B5"/>
      <w:sz w:val="32"/>
      <w:szCs w:val="32"/>
    </w:rPr>
  </w:style>
  <w:style w:type="paragraph" w:styleId="Heading2">
    <w:name w:val="heading 2"/>
    <w:basedOn w:val="Heading"/>
    <w:qFormat/>
    <w:pPr/>
    <w:rPr>
      <w:color w:val="2E74B5"/>
      <w:sz w:val="26"/>
      <w:szCs w:val="26"/>
    </w:rPr>
  </w:style>
  <w:style w:type="paragraph" w:styleId="Heading3">
    <w:name w:val="heading 3"/>
    <w:basedOn w:val="Heading"/>
    <w:qFormat/>
    <w:pPr/>
    <w:rPr>
      <w:color w:val="1F4D78"/>
      <w:sz w:val="24"/>
      <w:szCs w:val="24"/>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paragraph" w:styleId="Heading">
    <w:name w:val="Heading"/>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Title">
    <w:name w:val="Title"/>
    <w:basedOn w:val="Heading"/>
    <w:qFormat/>
    <w:pPr/>
    <w:rPr>
      <w:sz w:val="56"/>
      <w:szCs w:val="56"/>
    </w:rPr>
  </w:style>
  <w:style w:type="paragraph" w:styleId="StrongEmphasis">
    <w:name w:val="Strong Emphasis"/>
    <w:qFormat/>
    <w:pPr>
      <w:widowControl/>
      <w:bidi w:val="0"/>
      <w:spacing w:before="0" w:after="0"/>
      <w:jc w:val="start"/>
    </w:pPr>
    <w:rPr>
      <w:rFonts w:ascii="Times New Roman" w:hAnsi="Times New Roman" w:eastAsia="Songti SC" w:cs="Arial Unicode MS"/>
      <w:b/>
      <w:bCs/>
      <w:color w:val="auto"/>
      <w:kern w:val="0"/>
      <w:sz w:val="20"/>
      <w:szCs w:val="20"/>
      <w:lang w:val="en-US" w:eastAsia="zh-CN" w:bidi="hi-IN"/>
    </w:rPr>
  </w:style>
  <w:style w:type="paragraph" w:styleId="ListParagraph">
    <w:name w:val="List Paragraph"/>
    <w:qFormat/>
    <w:pPr>
      <w:widowControl/>
      <w:bidi w:val="0"/>
      <w:spacing w:before="0" w:after="0"/>
      <w:jc w:val="start"/>
    </w:pPr>
    <w:rPr>
      <w:rFonts w:ascii="Times New Roman" w:hAnsi="Times New Roman" w:eastAsia="Songti SC" w:cs="Arial Unicode MS"/>
      <w:color w:val="auto"/>
      <w:kern w:val="0"/>
      <w:sz w:val="20"/>
      <w:szCs w:val="20"/>
      <w:lang w:val="en-US"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FooterStyle">
    <w:name w:val="Footer Style"/>
    <w:qFormat/>
    <w:pPr>
      <w:widowControl/>
      <w:bidi w:val="0"/>
      <w:spacing w:before="0" w:after="0"/>
      <w:jc w:val="start"/>
    </w:pPr>
    <w:rPr>
      <w:rFonts w:ascii="Arial" w:hAnsi="Arial" w:eastAsia="Arial" w:cs="Arial"/>
      <w:color w:val="4B5563"/>
      <w:kern w:val="0"/>
      <w:sz w:val="16"/>
      <w:szCs w:val="16"/>
      <w:lang w:val="en-US" w:eastAsia="zh-CN" w:bidi="hi-IN"/>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aiposture.org/"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TotalTime>
  <Application>LibreOffice/25.8.1.1$MacOSX_AARCH64 LibreOffice_project/54047653041915e595ad4e45cccea684809c77b5</Application>
  <AppVersion>15.0000</AppVersion>
  <Pages>8</Pages>
  <Words>2633</Words>
  <Characters>14356</Characters>
  <CharactersWithSpaces>16909</CharactersWithSpaces>
  <Paragraphs>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2026-06-06T22:49:42Z</dcterms:created>
  <dc:creator>Sam Rogers / PAICE.work PBC</dc:creator>
  <dc:description>Executive brief on the case for measuring human-machine collaboration independently while it can still be seen.</dc:description>
  <dc:language>en-US</dc:language>
  <cp:lastModifiedBy/>
  <cp:lastPrinted>2026-06-06T17:02:36Z</cp:lastPrinted>
  <dcterms:modified xsi:type="dcterms:W3CDTF">2026-06-06T17:03:15Z</dcterms:modified>
  <cp:revision>3</cp:revision>
  <dc:subject/>
  <dc:title>Aggregated Intelligence</dc:title>
</cp:coreProperties>
</file>